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B8689" w14:textId="3DC78297" w:rsidR="00F72E58" w:rsidRDefault="003C22CA" w:rsidP="00562A22">
      <w:pPr>
        <w:spacing w:line="264" w:lineRule="auto"/>
        <w:rPr>
          <w:noProof/>
        </w:rPr>
      </w:pPr>
      <w:r>
        <w:rPr>
          <w:noProof/>
          <w:color w:val="FFFFFF" w:themeColor="background1"/>
          <w:lang w:bidi="ar-SA"/>
        </w:rPr>
        <w:drawing>
          <wp:anchor distT="0" distB="0" distL="114300" distR="114300" simplePos="0" relativeHeight="251661312" behindDoc="0" locked="0" layoutInCell="1" allowOverlap="1" wp14:anchorId="69774401" wp14:editId="47B92ECF">
            <wp:simplePos x="0" y="0"/>
            <wp:positionH relativeFrom="margin">
              <wp:align>left</wp:align>
            </wp:positionH>
            <wp:positionV relativeFrom="paragraph">
              <wp:posOffset>-590550</wp:posOffset>
            </wp:positionV>
            <wp:extent cx="4619625" cy="1428750"/>
            <wp:effectExtent l="0" t="0" r="9525" b="0"/>
            <wp:wrapNone/>
            <wp:docPr id="2" name="Picture 2" descr="Board of Water and Soil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oard of Water and Soil Resources logo"/>
                    <pic:cNvPicPr/>
                  </pic:nvPicPr>
                  <pic:blipFill>
                    <a:blip r:embed="rId8">
                      <a:extLst>
                        <a:ext uri="{28A0092B-C50C-407E-A947-70E740481C1C}">
                          <a14:useLocalDpi xmlns:a14="http://schemas.microsoft.com/office/drawing/2010/main" val="0"/>
                        </a:ext>
                      </a:extLst>
                    </a:blip>
                    <a:stretch>
                      <a:fillRect/>
                    </a:stretch>
                  </pic:blipFill>
                  <pic:spPr>
                    <a:xfrm>
                      <a:off x="0" y="0"/>
                      <a:ext cx="4619625" cy="1428750"/>
                    </a:xfrm>
                    <a:prstGeom prst="rect">
                      <a:avLst/>
                    </a:prstGeom>
                  </pic:spPr>
                </pic:pic>
              </a:graphicData>
            </a:graphic>
            <wp14:sizeRelH relativeFrom="page">
              <wp14:pctWidth>0</wp14:pctWidth>
            </wp14:sizeRelH>
            <wp14:sizeRelV relativeFrom="page">
              <wp14:pctHeight>0</wp14:pctHeight>
            </wp14:sizeRelV>
          </wp:anchor>
        </w:drawing>
      </w:r>
      <w:r>
        <w:rPr>
          <w:noProof/>
          <w:color w:val="FFFFFF" w:themeColor="background1"/>
          <w:lang w:bidi="ar-SA"/>
        </w:rPr>
        <mc:AlternateContent>
          <mc:Choice Requires="wps">
            <w:drawing>
              <wp:anchor distT="0" distB="0" distL="114300" distR="114300" simplePos="0" relativeHeight="251660288" behindDoc="1" locked="0" layoutInCell="1" allowOverlap="1" wp14:anchorId="2BE4128A" wp14:editId="6EDD0721">
                <wp:simplePos x="0" y="0"/>
                <wp:positionH relativeFrom="page">
                  <wp:align>left</wp:align>
                </wp:positionH>
                <wp:positionV relativeFrom="paragraph">
                  <wp:posOffset>-917575</wp:posOffset>
                </wp:positionV>
                <wp:extent cx="7808792" cy="1355835"/>
                <wp:effectExtent l="0" t="0" r="20955" b="15875"/>
                <wp:wrapNone/>
                <wp:docPr id="1" name="Rectangle 1" descr="decorative element"/>
                <wp:cNvGraphicFramePr/>
                <a:graphic xmlns:a="http://schemas.openxmlformats.org/drawingml/2006/main">
                  <a:graphicData uri="http://schemas.microsoft.com/office/word/2010/wordprocessingShape">
                    <wps:wsp>
                      <wps:cNvSpPr/>
                      <wps:spPr>
                        <a:xfrm>
                          <a:off x="0" y="0"/>
                          <a:ext cx="7808792" cy="13558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F34DC9" id="Rectangle 1" o:spid="_x0000_s1026" alt="decorative element" style="position:absolute;margin-left:0;margin-top:-72.25pt;width:614.85pt;height:106.75pt;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" fillcolor="#003865 [3204]" strokecolor="#001b32 [1604]" strokeweight="2pt">
                <w10:wrap anchorx="page"/>
              </v:rect>
            </w:pict>
          </mc:Fallback>
        </mc:AlternateContent>
      </w:r>
    </w:p>
    <w:p w14:paraId="08837933" w14:textId="25C8D092" w:rsidR="003C22CA" w:rsidRDefault="003C22CA" w:rsidP="00562A22">
      <w:pPr>
        <w:spacing w:line="264" w:lineRule="auto"/>
      </w:pPr>
    </w:p>
    <w:p w14:paraId="73AF453B" w14:textId="61F246C8" w:rsidR="006641D7" w:rsidRPr="00DD6758" w:rsidRDefault="00227345" w:rsidP="00FF3648">
      <w:pPr>
        <w:pStyle w:val="Heading1"/>
        <w:spacing w:before="120" w:after="60"/>
        <w:rPr>
          <w:rFonts w:asciiTheme="minorHAnsi" w:hAnsiTheme="minorHAnsi"/>
          <w:bCs/>
          <w:color w:val="004D8D" w:themeColor="text1" w:themeTint="E6"/>
          <w:sz w:val="44"/>
          <w:szCs w:val="44"/>
        </w:rPr>
      </w:pPr>
      <w:r>
        <w:rPr>
          <w:rFonts w:asciiTheme="minorHAnsi" w:hAnsiTheme="minorHAnsi"/>
          <w:bCs/>
          <w:color w:val="004D8D" w:themeColor="text1" w:themeTint="E6"/>
          <w:sz w:val="44"/>
          <w:szCs w:val="44"/>
        </w:rPr>
        <w:t xml:space="preserve">Preparing and Processing </w:t>
      </w:r>
      <w:r w:rsidR="001236E1">
        <w:rPr>
          <w:rFonts w:asciiTheme="minorHAnsi" w:hAnsiTheme="minorHAnsi"/>
          <w:bCs/>
          <w:color w:val="004D8D" w:themeColor="text1" w:themeTint="E6"/>
          <w:sz w:val="44"/>
          <w:szCs w:val="44"/>
        </w:rPr>
        <w:t>Local Government Road Wetland Replacement Program (LGRWRP)</w:t>
      </w:r>
      <w:r w:rsidR="00B66CA1">
        <w:rPr>
          <w:rFonts w:asciiTheme="minorHAnsi" w:hAnsiTheme="minorHAnsi"/>
          <w:bCs/>
          <w:color w:val="004D8D" w:themeColor="text1" w:themeTint="E6"/>
          <w:sz w:val="44"/>
          <w:szCs w:val="44"/>
        </w:rPr>
        <w:t xml:space="preserve"> </w:t>
      </w:r>
      <w:r>
        <w:rPr>
          <w:rFonts w:asciiTheme="minorHAnsi" w:hAnsiTheme="minorHAnsi"/>
          <w:bCs/>
          <w:color w:val="004D8D" w:themeColor="text1" w:themeTint="E6"/>
          <w:sz w:val="44"/>
          <w:szCs w:val="44"/>
        </w:rPr>
        <w:t>A</w:t>
      </w:r>
      <w:r w:rsidR="00843386">
        <w:rPr>
          <w:rFonts w:asciiTheme="minorHAnsi" w:hAnsiTheme="minorHAnsi"/>
          <w:bCs/>
          <w:color w:val="004D8D" w:themeColor="text1" w:themeTint="E6"/>
          <w:sz w:val="44"/>
          <w:szCs w:val="44"/>
        </w:rPr>
        <w:t>pplications</w:t>
      </w:r>
    </w:p>
    <w:p w14:paraId="1309AFF0" w14:textId="77777777" w:rsidR="00A3704B" w:rsidRDefault="00682B61" w:rsidP="0048221E">
      <w:pPr>
        <w:spacing w:line="264" w:lineRule="auto"/>
      </w:pPr>
      <w:r w:rsidRPr="00682B61">
        <w:t>The LGRWRP provide</w:t>
      </w:r>
      <w:r w:rsidR="00843386">
        <w:t>s</w:t>
      </w:r>
      <w:r w:rsidRPr="00682B61">
        <w:t xml:space="preserve"> wetland </w:t>
      </w:r>
      <w:r>
        <w:t>replacement (mitigation)</w:t>
      </w:r>
      <w:r w:rsidRPr="00682B61">
        <w:t xml:space="preserve"> for certain qualifying road reconstruction, repair and rehabilitation projects conducted by local road authorities (cities, townships, counties). </w:t>
      </w:r>
      <w:r w:rsidR="00B525D5">
        <w:t>Using the program for qualifying projects relieves the l</w:t>
      </w:r>
      <w:r w:rsidRPr="00682B61">
        <w:t>ocal road author</w:t>
      </w:r>
      <w:r w:rsidR="00B525D5">
        <w:t xml:space="preserve">ity from the responsibility of providing wetland replacement for </w:t>
      </w:r>
      <w:r w:rsidR="00D8176D">
        <w:t xml:space="preserve">compliance with the Minnesota Wetland Conservation Act (WCA), Section 404 of the Clean Water Act (CWA) </w:t>
      </w:r>
      <w:r w:rsidR="00B525D5">
        <w:t xml:space="preserve">and </w:t>
      </w:r>
      <w:r w:rsidR="00D8176D">
        <w:t>Public Waters Work Permit Program (PWWPP)</w:t>
      </w:r>
      <w:r w:rsidR="00B525D5">
        <w:t>. Use of the program is voluntary, and local road authorities must follow the process established by BWSR if they choose to use the program.</w:t>
      </w:r>
      <w:r w:rsidR="00305702">
        <w:t xml:space="preserve"> </w:t>
      </w:r>
    </w:p>
    <w:p w14:paraId="528B1967" w14:textId="171E2A92" w:rsidR="0032342A" w:rsidRDefault="00A3704B" w:rsidP="0048221E">
      <w:pPr>
        <w:spacing w:line="264" w:lineRule="auto"/>
        <w:rPr>
          <w:b/>
          <w:bCs/>
          <w:color w:val="002060"/>
          <w:sz w:val="24"/>
          <w:szCs w:val="24"/>
        </w:rPr>
      </w:pPr>
      <w:r>
        <w:t xml:space="preserve">The applicable Technical Evaluation Panel (TEP) determines what project </w:t>
      </w:r>
      <w:r w:rsidR="00545B59">
        <w:t xml:space="preserve">wetland </w:t>
      </w:r>
      <w:r>
        <w:t xml:space="preserve">impacts </w:t>
      </w:r>
      <w:r w:rsidR="00545B59">
        <w:t xml:space="preserve">(impacts) </w:t>
      </w:r>
      <w:r>
        <w:t>qualify for replacement by the LGRWRP. The WCA local government unit (LGU) coordinates the TEP, but does not decide on which impacts qualify for the LGRWRP.</w:t>
      </w:r>
      <w:r w:rsidR="00227345">
        <w:t xml:space="preserve"> Projects or impacts that qualify for a WCA exemption should be submitted to the LGU for an exemption decision. Consult with the TEP on exemption applicability for a project. </w:t>
      </w:r>
      <w:r w:rsidR="00227345" w:rsidRPr="00545B59">
        <w:rPr>
          <w:u w:val="single"/>
        </w:rPr>
        <w:t xml:space="preserve">Projects or impacts that are exempt </w:t>
      </w:r>
      <w:r w:rsidR="000E4167">
        <w:rPr>
          <w:u w:val="single"/>
        </w:rPr>
        <w:t xml:space="preserve">from WCA replacement requirements </w:t>
      </w:r>
      <w:r w:rsidR="00227345" w:rsidRPr="00545B59">
        <w:rPr>
          <w:u w:val="single"/>
        </w:rPr>
        <w:t xml:space="preserve">and do not require replacement/mitigation </w:t>
      </w:r>
      <w:r w:rsidR="000E4167">
        <w:rPr>
          <w:u w:val="single"/>
        </w:rPr>
        <w:t>by</w:t>
      </w:r>
      <w:r w:rsidR="00227345" w:rsidRPr="00545B59">
        <w:rPr>
          <w:u w:val="single"/>
        </w:rPr>
        <w:t xml:space="preserve"> other wetland regulatory programs should not be submitted for LGRWRP qualification</w:t>
      </w:r>
      <w:r w:rsidR="00227345">
        <w:t xml:space="preserve">. </w:t>
      </w:r>
      <w:r w:rsidR="00305702">
        <w:t xml:space="preserve">  </w:t>
      </w:r>
    </w:p>
    <w:p w14:paraId="7A243CBF" w14:textId="4E499C88" w:rsidR="00B2483E" w:rsidRPr="00B66CA1" w:rsidRDefault="00142961" w:rsidP="00B2483E">
      <w:pPr>
        <w:spacing w:line="264" w:lineRule="auto"/>
        <w:rPr>
          <w:sz w:val="28"/>
          <w:szCs w:val="28"/>
        </w:rPr>
      </w:pPr>
      <w:r>
        <w:rPr>
          <w:b/>
          <w:bCs/>
          <w:color w:val="002060"/>
          <w:sz w:val="28"/>
          <w:szCs w:val="28"/>
        </w:rPr>
        <w:t>Application Steps</w:t>
      </w:r>
    </w:p>
    <w:p w14:paraId="5EB9CFAC" w14:textId="1B093ACD" w:rsidR="00CB4959" w:rsidRDefault="00CB4959" w:rsidP="004064AB">
      <w:pPr>
        <w:spacing w:after="120"/>
        <w:ind w:left="180"/>
      </w:pPr>
      <w:r w:rsidRPr="008E7B3A">
        <w:rPr>
          <w:b/>
          <w:bCs/>
        </w:rPr>
        <w:t>Step 1</w:t>
      </w:r>
      <w:r>
        <w:t>: Identify all wetlands within the project right-of-way.</w:t>
      </w:r>
    </w:p>
    <w:p w14:paraId="1960E981" w14:textId="30D15C94" w:rsidR="00CB4959" w:rsidRDefault="0036342B" w:rsidP="00CB4959">
      <w:pPr>
        <w:pStyle w:val="ListParagraph"/>
        <w:numPr>
          <w:ilvl w:val="0"/>
          <w:numId w:val="37"/>
        </w:numPr>
        <w:spacing w:after="120"/>
        <w:ind w:left="936"/>
        <w:contextualSpacing w:val="0"/>
      </w:pPr>
      <w:r>
        <w:t>Hire</w:t>
      </w:r>
      <w:r w:rsidR="00CB4959">
        <w:t xml:space="preserve"> a consultant or </w:t>
      </w:r>
      <w:r>
        <w:t>utilize</w:t>
      </w:r>
      <w:r w:rsidR="00CB4959">
        <w:t xml:space="preserve"> existing County/City/Township staff with wetland identification/delineation expertise</w:t>
      </w:r>
      <w:r w:rsidR="00B17550">
        <w:t xml:space="preserve"> to identify and delineate wetlands in the project area</w:t>
      </w:r>
      <w:r w:rsidR="00CB4959">
        <w:t>.</w:t>
      </w:r>
      <w:r w:rsidR="005E315C">
        <w:t xml:space="preserve"> Multiple project areas can be combined into a single wetland delineation report for review and approval. </w:t>
      </w:r>
      <w:r w:rsidR="00B17550">
        <w:t xml:space="preserve">A wetland delineation report is required. </w:t>
      </w:r>
      <w:r w:rsidR="00142961">
        <w:t>The level and method of wetland delineation will vary depending on the project and the wetlands involved.</w:t>
      </w:r>
    </w:p>
    <w:p w14:paraId="35EAC28B" w14:textId="285B0F12" w:rsidR="00CB4959" w:rsidRDefault="005E315C" w:rsidP="00CB4959">
      <w:pPr>
        <w:pStyle w:val="ListParagraph"/>
        <w:numPr>
          <w:ilvl w:val="0"/>
          <w:numId w:val="37"/>
        </w:numPr>
        <w:spacing w:after="120"/>
        <w:ind w:left="936"/>
        <w:contextualSpacing w:val="0"/>
      </w:pPr>
      <w:r>
        <w:t xml:space="preserve">The wetland delineation </w:t>
      </w:r>
      <w:r w:rsidR="00B17550">
        <w:t xml:space="preserve">report </w:t>
      </w:r>
      <w:r>
        <w:t xml:space="preserve">can be submitted to the </w:t>
      </w:r>
      <w:r w:rsidR="00B17550">
        <w:t xml:space="preserve">LGU </w:t>
      </w:r>
      <w:r>
        <w:t xml:space="preserve">for a wetland boundary/type approval. </w:t>
      </w:r>
      <w:r w:rsidR="00B17550">
        <w:t>A wetland boundary/type approval from the LGU</w:t>
      </w:r>
      <w:r w:rsidR="00B130CC">
        <w:t xml:space="preserve"> is valid for 5 years and can be submitted with the LGRWRP application materials. Alternatively, </w:t>
      </w:r>
      <w:r w:rsidR="00CB4959">
        <w:t xml:space="preserve">the road authority can </w:t>
      </w:r>
      <w:r w:rsidR="00077D38">
        <w:t xml:space="preserve">submit the wetland delineation report to members of the TEP requesting concurrence with the identified wetlands and boundaries. Written TEP findings are used to document concurrence with the delineation. </w:t>
      </w:r>
    </w:p>
    <w:p w14:paraId="5BCFF03D" w14:textId="2C00CA62" w:rsidR="00CB4959" w:rsidRDefault="00CB4959" w:rsidP="00CB4959">
      <w:pPr>
        <w:pStyle w:val="ListParagraph"/>
        <w:numPr>
          <w:ilvl w:val="0"/>
          <w:numId w:val="37"/>
        </w:numPr>
        <w:spacing w:after="120"/>
        <w:ind w:left="936"/>
        <w:contextualSpacing w:val="0"/>
      </w:pPr>
      <w:r>
        <w:t>Road authorities should plan to complete and submit wetland delineations such that they can be reviewed prior to the onset of winter conditions (frozen ground, snow cover). Early planning and coordination with the TEP are crucial if project timelines are tight.</w:t>
      </w:r>
    </w:p>
    <w:p w14:paraId="53403FAE" w14:textId="77777777" w:rsidR="00CB4959" w:rsidRDefault="00CB4959" w:rsidP="004064AB">
      <w:pPr>
        <w:spacing w:after="120"/>
        <w:ind w:left="180"/>
      </w:pPr>
      <w:r w:rsidRPr="008E7B3A">
        <w:rPr>
          <w:b/>
          <w:bCs/>
        </w:rPr>
        <w:t>Step 2</w:t>
      </w:r>
      <w:r>
        <w:t>:  Quantify impacts to wetlands.</w:t>
      </w:r>
    </w:p>
    <w:p w14:paraId="62D7E926" w14:textId="61A009E2" w:rsidR="00CB4959" w:rsidRDefault="00142961" w:rsidP="00CB4959">
      <w:pPr>
        <w:pStyle w:val="ListParagraph"/>
        <w:numPr>
          <w:ilvl w:val="0"/>
          <w:numId w:val="39"/>
        </w:numPr>
        <w:spacing w:after="120"/>
        <w:ind w:left="936"/>
        <w:contextualSpacing w:val="0"/>
      </w:pPr>
      <w:r>
        <w:t>D</w:t>
      </w:r>
      <w:r w:rsidR="00CB4959">
        <w:t>etermine the areal extent (square footage or acreage) of wetland areas that will be filled, excavated, or drained</w:t>
      </w:r>
      <w:r>
        <w:t xml:space="preserve"> </w:t>
      </w:r>
      <w:r w:rsidR="0066570F">
        <w:t>because of</w:t>
      </w:r>
      <w:r>
        <w:t xml:space="preserve"> the project</w:t>
      </w:r>
      <w:r w:rsidR="00CB4959">
        <w:t xml:space="preserve">. Even rough estimates based on preliminary plans will be useful in proceeding to Step 3. Wetland impacts based on final plans will be required prior to submittal to </w:t>
      </w:r>
      <w:r>
        <w:t>the TEP</w:t>
      </w:r>
      <w:r w:rsidR="00CB4959">
        <w:t xml:space="preserve"> (Step </w:t>
      </w:r>
      <w:r>
        <w:t>4</w:t>
      </w:r>
      <w:r w:rsidR="00CB4959">
        <w:t>).</w:t>
      </w:r>
    </w:p>
    <w:p w14:paraId="10184913" w14:textId="193FE528" w:rsidR="00CB4959" w:rsidRDefault="00CB4959" w:rsidP="00CB4959">
      <w:pPr>
        <w:pStyle w:val="ListParagraph"/>
        <w:numPr>
          <w:ilvl w:val="0"/>
          <w:numId w:val="39"/>
        </w:numPr>
        <w:spacing w:after="120"/>
        <w:ind w:left="936"/>
        <w:contextualSpacing w:val="0"/>
      </w:pPr>
      <w:r>
        <w:lastRenderedPageBreak/>
        <w:t xml:space="preserve">It is important to separate wetland areas proposed to be filled from those proposed to be excavated or drained. </w:t>
      </w:r>
    </w:p>
    <w:p w14:paraId="0EB81175" w14:textId="77777777" w:rsidR="00CB4959" w:rsidRDefault="00CB4959" w:rsidP="004064AB">
      <w:pPr>
        <w:spacing w:after="120"/>
        <w:ind w:left="180"/>
      </w:pPr>
      <w:r w:rsidRPr="008E7B3A">
        <w:rPr>
          <w:b/>
          <w:bCs/>
        </w:rPr>
        <w:t>Step 3</w:t>
      </w:r>
      <w:r>
        <w:t>:  Ask the WCA LGU for a pre-application TEP meeting/review (optional, but highly recommended).</w:t>
      </w:r>
    </w:p>
    <w:p w14:paraId="468267C8" w14:textId="761AB18C" w:rsidR="00CB4959" w:rsidRDefault="00CB4959" w:rsidP="00CB4959">
      <w:pPr>
        <w:pStyle w:val="ListParagraph"/>
        <w:numPr>
          <w:ilvl w:val="0"/>
          <w:numId w:val="38"/>
        </w:numPr>
        <w:spacing w:after="120"/>
        <w:ind w:left="936"/>
        <w:contextualSpacing w:val="0"/>
      </w:pPr>
      <w:r>
        <w:t>This step allow</w:t>
      </w:r>
      <w:r w:rsidR="00E91FAC">
        <w:t>s</w:t>
      </w:r>
      <w:r>
        <w:t xml:space="preserve"> the TEP to </w:t>
      </w:r>
      <w:r w:rsidR="00E91FAC">
        <w:t>do a preliminary evaluation of</w:t>
      </w:r>
      <w:r>
        <w:t xml:space="preserve"> </w:t>
      </w:r>
      <w:r w:rsidR="00F43ADE">
        <w:t xml:space="preserve">LGRWRP </w:t>
      </w:r>
      <w:r>
        <w:t>qualification</w:t>
      </w:r>
      <w:r w:rsidR="00E91FAC">
        <w:t xml:space="preserve"> prior to final submittal</w:t>
      </w:r>
      <w:r>
        <w:t>. Any wetland impacts that do not qualify for the LGRWRP can be identified so that the Road Authority can plan for alternate ways to meet wetland replacement requirements.</w:t>
      </w:r>
    </w:p>
    <w:p w14:paraId="13D438ED" w14:textId="7BAE315A" w:rsidR="00CB4959" w:rsidRDefault="00F43ADE" w:rsidP="00CB4959">
      <w:pPr>
        <w:pStyle w:val="ListParagraph"/>
        <w:numPr>
          <w:ilvl w:val="0"/>
          <w:numId w:val="38"/>
        </w:numPr>
        <w:spacing w:after="120"/>
        <w:ind w:left="936"/>
        <w:contextualSpacing w:val="0"/>
      </w:pPr>
      <w:r>
        <w:t>Having an a</w:t>
      </w:r>
      <w:r w:rsidR="00CB4959">
        <w:t>nnual meeting</w:t>
      </w:r>
      <w:r>
        <w:t xml:space="preserve"> </w:t>
      </w:r>
      <w:r w:rsidR="008A617C">
        <w:t xml:space="preserve">with the TEP </w:t>
      </w:r>
      <w:r>
        <w:t xml:space="preserve">to discuss and evaluate upcoming projects for the year is highly encouraged. Even if construction plans have not been developed, showing project locations and discussing project needs and features will often facilitate quicker and more straight forward application reviews when project plans are finalized and submitted. </w:t>
      </w:r>
    </w:p>
    <w:p w14:paraId="4F98AAB2" w14:textId="78C6E53E" w:rsidR="00CB4959" w:rsidRDefault="00CB4959" w:rsidP="00CB4959">
      <w:pPr>
        <w:pStyle w:val="ListParagraph"/>
        <w:numPr>
          <w:ilvl w:val="0"/>
          <w:numId w:val="38"/>
        </w:numPr>
        <w:spacing w:after="120"/>
        <w:ind w:left="936"/>
        <w:contextualSpacing w:val="0"/>
      </w:pPr>
      <w:r>
        <w:t xml:space="preserve">The Road Authority should be prepared to explain the reason for the project, identify </w:t>
      </w:r>
      <w:r w:rsidR="00BF0F0C">
        <w:t xml:space="preserve">existing safety and/or </w:t>
      </w:r>
      <w:r>
        <w:t xml:space="preserve">design </w:t>
      </w:r>
      <w:r w:rsidR="00BF0F0C">
        <w:t>deficiencies</w:t>
      </w:r>
      <w:r>
        <w:t>, and discuss why wetland impacts cannot be avoided. TEP members are generally not experts in road design and safety, so it is important for the Road Authority to explain the design and related safety features in a way that is comprehensible to a non-expert.</w:t>
      </w:r>
    </w:p>
    <w:p w14:paraId="2ED95D42" w14:textId="223C5A78" w:rsidR="00CB4959" w:rsidRDefault="00CB4959" w:rsidP="004064AB">
      <w:pPr>
        <w:spacing w:after="120"/>
        <w:ind w:left="180"/>
      </w:pPr>
      <w:r w:rsidRPr="008E7B3A">
        <w:rPr>
          <w:b/>
          <w:bCs/>
        </w:rPr>
        <w:t xml:space="preserve">Step </w:t>
      </w:r>
      <w:r>
        <w:rPr>
          <w:b/>
          <w:bCs/>
        </w:rPr>
        <w:t>4</w:t>
      </w:r>
      <w:r>
        <w:t xml:space="preserve">:  Complete the joint application form </w:t>
      </w:r>
      <w:r w:rsidR="0020215D">
        <w:t>(</w:t>
      </w:r>
      <w:r>
        <w:t>including Attachment E for using the LGRWRP</w:t>
      </w:r>
      <w:r w:rsidR="0020215D">
        <w:t>)</w:t>
      </w:r>
      <w:r>
        <w:t>.</w:t>
      </w:r>
    </w:p>
    <w:p w14:paraId="78654ADF" w14:textId="3DE6C2BD" w:rsidR="00CB4959" w:rsidRDefault="00CB4959" w:rsidP="00CB4959">
      <w:pPr>
        <w:pStyle w:val="ListParagraph"/>
        <w:numPr>
          <w:ilvl w:val="0"/>
          <w:numId w:val="38"/>
        </w:numPr>
        <w:spacing w:after="120"/>
        <w:ind w:left="936"/>
        <w:contextualSpacing w:val="0"/>
      </w:pPr>
      <w:r>
        <w:t xml:space="preserve">When completing Attachment </w:t>
      </w:r>
      <w:r w:rsidR="0007295D">
        <w:t>E,</w:t>
      </w:r>
      <w:r>
        <w:t xml:space="preserve"> it is important to quantify </w:t>
      </w:r>
      <w:r w:rsidRPr="0094157A">
        <w:rPr>
          <w:u w:val="single"/>
        </w:rPr>
        <w:t>only</w:t>
      </w:r>
      <w:r>
        <w:t xml:space="preserve"> wetland impacts requiring replacement under the state WCA program. Part 4 of the form may include more areas where wetlands are being altered because other programs (i.e.</w:t>
      </w:r>
      <w:r w:rsidR="0007295D">
        <w:t>,</w:t>
      </w:r>
      <w:r>
        <w:t xml:space="preserve"> </w:t>
      </w:r>
      <w:r w:rsidR="0007295D">
        <w:t>CWA</w:t>
      </w:r>
      <w:r>
        <w:t>) require documentation of all wetland alterations regardless of the type of alteration. Often the numbers in Part 4 and Attachment E are the same. The TEP can help you figure out which impacts require replacement under WCA.</w:t>
      </w:r>
    </w:p>
    <w:p w14:paraId="60F63649" w14:textId="77777777" w:rsidR="00CB4959" w:rsidRDefault="00CB4959" w:rsidP="00CB4959">
      <w:pPr>
        <w:pStyle w:val="ListParagraph"/>
        <w:numPr>
          <w:ilvl w:val="0"/>
          <w:numId w:val="38"/>
        </w:numPr>
        <w:spacing w:after="120"/>
        <w:ind w:left="936"/>
        <w:contextualSpacing w:val="0"/>
      </w:pPr>
      <w:r>
        <w:t>When answering the questions in Attachment E, reference and attach any documents pertaining to road safety and design requirements. As the TEP are not experts in road design and safety, it is important to extract, highlight, and explain relevant design standards and requirements as opposed to attaching large documents with highly technical and extraneous information.</w:t>
      </w:r>
    </w:p>
    <w:p w14:paraId="608D704D" w14:textId="2E384E6F" w:rsidR="00CB4959" w:rsidRDefault="00CB4959" w:rsidP="00CB4959">
      <w:pPr>
        <w:pStyle w:val="ListParagraph"/>
        <w:numPr>
          <w:ilvl w:val="0"/>
          <w:numId w:val="38"/>
        </w:numPr>
        <w:spacing w:after="120"/>
        <w:ind w:left="936"/>
        <w:contextualSpacing w:val="0"/>
      </w:pPr>
      <w:r>
        <w:t>For purposes of wetland compliance, plan sheets should clearly mark and highlight areas of wetland impact by type (fill, excavate, drain) and include sizes of each impact (areal extent, not volume). For large projects, only include plan sheets showing wetland impacts along with an overall plan sheet indicating their locations.</w:t>
      </w:r>
    </w:p>
    <w:p w14:paraId="4125CB58" w14:textId="1594BEFD" w:rsidR="0064659B" w:rsidRDefault="004D16D3" w:rsidP="00CB4959">
      <w:pPr>
        <w:pStyle w:val="ListParagraph"/>
        <w:numPr>
          <w:ilvl w:val="0"/>
          <w:numId w:val="38"/>
        </w:numPr>
        <w:spacing w:after="120"/>
        <w:ind w:left="936"/>
        <w:contextualSpacing w:val="0"/>
      </w:pPr>
      <w:r>
        <w:t xml:space="preserve">If you previously submitted an application to the U.S. Army Corps of Engineers (Corps) and received a permit number, </w:t>
      </w:r>
      <w:r w:rsidRPr="004D16D3">
        <w:rPr>
          <w:u w:val="single"/>
        </w:rPr>
        <w:t>b</w:t>
      </w:r>
      <w:r w:rsidR="0064659B" w:rsidRPr="004D16D3">
        <w:rPr>
          <w:u w:val="single"/>
        </w:rPr>
        <w:t>e</w:t>
      </w:r>
      <w:r w:rsidR="0064659B" w:rsidRPr="0094157A">
        <w:rPr>
          <w:u w:val="single"/>
        </w:rPr>
        <w:t xml:space="preserve"> sure to include th</w:t>
      </w:r>
      <w:r>
        <w:rPr>
          <w:u w:val="single"/>
        </w:rPr>
        <w:t xml:space="preserve">at permit number </w:t>
      </w:r>
      <w:r w:rsidR="0064659B" w:rsidRPr="0094157A">
        <w:rPr>
          <w:u w:val="single"/>
        </w:rPr>
        <w:t>on Attachment E</w:t>
      </w:r>
      <w:r>
        <w:rPr>
          <w:u w:val="single"/>
        </w:rPr>
        <w:t>.</w:t>
      </w:r>
      <w:r w:rsidR="0064659B">
        <w:t xml:space="preserve"> </w:t>
      </w:r>
      <w:r w:rsidR="002E1BFE">
        <w:t>This will help BWSR satisfy any federal replacement requirements for the project.</w:t>
      </w:r>
    </w:p>
    <w:p w14:paraId="2D1A1563" w14:textId="159F3008" w:rsidR="00CB4959" w:rsidRDefault="00CB4959" w:rsidP="004064AB">
      <w:pPr>
        <w:spacing w:after="120"/>
        <w:ind w:left="180"/>
      </w:pPr>
      <w:r w:rsidRPr="008E7B3A">
        <w:rPr>
          <w:b/>
          <w:bCs/>
        </w:rPr>
        <w:t xml:space="preserve">Step </w:t>
      </w:r>
      <w:r>
        <w:rPr>
          <w:b/>
          <w:bCs/>
        </w:rPr>
        <w:t>5</w:t>
      </w:r>
      <w:r>
        <w:t xml:space="preserve">:  </w:t>
      </w:r>
      <w:r w:rsidR="00CE570D">
        <w:t>S</w:t>
      </w:r>
      <w:r w:rsidR="006954E2">
        <w:t>end</w:t>
      </w:r>
      <w:r w:rsidR="00CE570D">
        <w:t xml:space="preserve"> LGRWRP </w:t>
      </w:r>
      <w:r>
        <w:t>application to each WCA TEP member.</w:t>
      </w:r>
      <w:r w:rsidR="00CE570D">
        <w:t xml:space="preserve"> Check with LGU for TEP member contacts.</w:t>
      </w:r>
    </w:p>
    <w:p w14:paraId="63E55AE3" w14:textId="77777777" w:rsidR="00CB4959" w:rsidRDefault="00CB4959" w:rsidP="00CB4959">
      <w:pPr>
        <w:pStyle w:val="ListParagraph"/>
        <w:numPr>
          <w:ilvl w:val="0"/>
          <w:numId w:val="38"/>
        </w:numPr>
        <w:spacing w:after="120"/>
        <w:ind w:left="936"/>
        <w:contextualSpacing w:val="0"/>
      </w:pPr>
      <w:r>
        <w:t>The TEP has 30 days to review the application and sign Attachment E, inform the Road Authority of inaccuracies, or inform the Road Authority that the application is ineligible for the LGRWRP. Early pre-application coordination with the TEP will help avoid unexpected determinations and potential project delays.</w:t>
      </w:r>
    </w:p>
    <w:p w14:paraId="1F278EA6" w14:textId="3F5EE27C" w:rsidR="00CE570D" w:rsidRDefault="00CE570D" w:rsidP="00CB4959">
      <w:pPr>
        <w:pStyle w:val="ListParagraph"/>
        <w:numPr>
          <w:ilvl w:val="0"/>
          <w:numId w:val="38"/>
        </w:numPr>
        <w:spacing w:after="120"/>
        <w:ind w:left="936"/>
        <w:contextualSpacing w:val="0"/>
      </w:pPr>
      <w:r>
        <w:t>If seeking CWA authorization, apply to the Corps prior to or concurrent with submittal to the TEP.</w:t>
      </w:r>
    </w:p>
    <w:p w14:paraId="70DCB2EB" w14:textId="6F324F6B" w:rsidR="00CB4959" w:rsidRDefault="00CB4959" w:rsidP="00F676EE">
      <w:pPr>
        <w:spacing w:after="120"/>
        <w:ind w:left="900" w:hanging="720"/>
      </w:pPr>
      <w:r w:rsidRPr="008E7B3A">
        <w:rPr>
          <w:b/>
          <w:bCs/>
        </w:rPr>
        <w:t xml:space="preserve">Step </w:t>
      </w:r>
      <w:r>
        <w:rPr>
          <w:b/>
          <w:bCs/>
        </w:rPr>
        <w:t>6</w:t>
      </w:r>
      <w:r>
        <w:t xml:space="preserve">:  </w:t>
      </w:r>
      <w:r w:rsidR="00FB5EC8">
        <w:t>Submit</w:t>
      </w:r>
      <w:r w:rsidR="00F676EE">
        <w:t xml:space="preserve"> </w:t>
      </w:r>
      <w:r w:rsidR="00A3704B">
        <w:t xml:space="preserve">signed </w:t>
      </w:r>
      <w:r w:rsidR="00F676EE">
        <w:t xml:space="preserve">application </w:t>
      </w:r>
      <w:r>
        <w:t xml:space="preserve">to BWSR </w:t>
      </w:r>
      <w:r w:rsidR="00F676EE">
        <w:t xml:space="preserve">at </w:t>
      </w:r>
      <w:hyperlink r:id="rId9" w:history="1">
        <w:r w:rsidR="006613E6" w:rsidRPr="007C4269">
          <w:rPr>
            <w:rStyle w:val="Hyperlink"/>
            <w:color w:val="0070CB" w:themeColor="text1" w:themeTint="BF"/>
          </w:rPr>
          <w:t>LGRWRP.BWSR@state.mn.us</w:t>
        </w:r>
      </w:hyperlink>
      <w:r w:rsidR="003C0D56">
        <w:t>.</w:t>
      </w:r>
      <w:r w:rsidR="006954E2">
        <w:t xml:space="preserve"> The Road Authority is responsible for submission to BWSR at this email address. The BWSR Wetland Specialist on the TEP will </w:t>
      </w:r>
      <w:r w:rsidR="006954E2" w:rsidRPr="006954E2">
        <w:rPr>
          <w:i/>
          <w:iCs/>
        </w:rPr>
        <w:t>not</w:t>
      </w:r>
      <w:r w:rsidR="006954E2">
        <w:t xml:space="preserve"> submit the signed application on behalf of the Road Authority.</w:t>
      </w:r>
    </w:p>
    <w:p w14:paraId="78423E77" w14:textId="0A2495D1" w:rsidR="006613E6" w:rsidRDefault="006613E6" w:rsidP="006613E6">
      <w:pPr>
        <w:pStyle w:val="ListParagraph"/>
        <w:numPr>
          <w:ilvl w:val="0"/>
          <w:numId w:val="38"/>
        </w:numPr>
        <w:spacing w:after="120"/>
        <w:ind w:left="936"/>
        <w:contextualSpacing w:val="0"/>
      </w:pPr>
      <w:r>
        <w:lastRenderedPageBreak/>
        <w:t xml:space="preserve">For quicker and more efficient processing, save the application in a single PDF format document that includes the joint application form (with completely signed Attachment E) and all attachments (figures, maps, etc.). To add pages to an electronically-signed Attachment E, select “print to PDF” and then resave. This will make the document editable to add additional documents. </w:t>
      </w:r>
    </w:p>
    <w:p w14:paraId="770B0176" w14:textId="5CC1EA90" w:rsidR="0020215D" w:rsidRDefault="0020215D" w:rsidP="0020215D">
      <w:pPr>
        <w:spacing w:after="120"/>
        <w:ind w:left="900" w:hanging="720"/>
      </w:pPr>
      <w:r w:rsidRPr="008E7B3A">
        <w:rPr>
          <w:b/>
          <w:bCs/>
        </w:rPr>
        <w:t xml:space="preserve">Step </w:t>
      </w:r>
      <w:r>
        <w:rPr>
          <w:b/>
          <w:bCs/>
        </w:rPr>
        <w:t>7</w:t>
      </w:r>
      <w:r>
        <w:t xml:space="preserve">:  </w:t>
      </w:r>
      <w:r w:rsidR="00D53999">
        <w:t>Receive confirmation from BWSR</w:t>
      </w:r>
      <w:r>
        <w:t>.</w:t>
      </w:r>
    </w:p>
    <w:p w14:paraId="278692DC" w14:textId="7C29CCA8" w:rsidR="00D53999" w:rsidRDefault="0029415D" w:rsidP="00A1568C">
      <w:pPr>
        <w:pStyle w:val="ListParagraph"/>
        <w:numPr>
          <w:ilvl w:val="0"/>
          <w:numId w:val="38"/>
        </w:numPr>
        <w:spacing w:after="120"/>
        <w:ind w:left="994"/>
        <w:contextualSpacing w:val="0"/>
      </w:pPr>
      <w:r>
        <w:t>BWSR reviews applications for completeness and accuracy before processing. If the road authority applied to the Corps and/or DNR, BWSR coordinates with their program staff to satisfy any CWA and/or PWWPP mitigation requirements.</w:t>
      </w:r>
    </w:p>
    <w:p w14:paraId="268EF257" w14:textId="0A6913E5" w:rsidR="00A1568C" w:rsidRDefault="006B1018" w:rsidP="00A1568C">
      <w:pPr>
        <w:pStyle w:val="ListParagraph"/>
        <w:numPr>
          <w:ilvl w:val="0"/>
          <w:numId w:val="38"/>
        </w:numPr>
        <w:spacing w:after="120"/>
        <w:ind w:left="994"/>
        <w:contextualSpacing w:val="0"/>
      </w:pPr>
      <w:r>
        <w:t xml:space="preserve">If the application was also submitted to the Corps and a Corps project number was assigned, the road authority should wait to construct the project until receiving correspondence </w:t>
      </w:r>
      <w:r w:rsidR="0063656B">
        <w:t>from the Corps indicating an issued permit, qualification under a General Permit, or a no Federal jurisdiction determination.</w:t>
      </w:r>
      <w:r w:rsidR="00A1568C" w:rsidRPr="00A1568C">
        <w:t xml:space="preserve"> </w:t>
      </w:r>
      <w:r w:rsidR="00A1568C">
        <w:t>BWSR will need this information to ensure that Federal requirements for mitigation are met.</w:t>
      </w:r>
    </w:p>
    <w:p w14:paraId="6A208073" w14:textId="7916EF74" w:rsidR="00D53999" w:rsidRDefault="00A1568C" w:rsidP="00A1568C">
      <w:pPr>
        <w:pStyle w:val="ListParagraph"/>
        <w:numPr>
          <w:ilvl w:val="0"/>
          <w:numId w:val="38"/>
        </w:numPr>
        <w:spacing w:after="120"/>
        <w:ind w:left="994"/>
        <w:contextualSpacing w:val="0"/>
      </w:pPr>
      <w:r>
        <w:t>A confirmation email will be sent to the road authority, any consultants involved in the project submittal, TEP members, and the Corps (if applicable) when BWSR is finished processing the application. Project construction should not proceed until this confirmation is received.</w:t>
      </w:r>
    </w:p>
    <w:p w14:paraId="32B75D5E" w14:textId="01E8084C" w:rsidR="00692B62" w:rsidRDefault="00253929" w:rsidP="00253929">
      <w:pPr>
        <w:spacing w:after="120"/>
        <w:rPr>
          <w:b/>
          <w:noProof/>
          <w:color w:val="002060"/>
          <w:sz w:val="24"/>
          <w:szCs w:val="24"/>
        </w:rPr>
      </w:pPr>
      <w:r>
        <w:rPr>
          <w:b/>
          <w:noProof/>
          <w:sz w:val="24"/>
          <w:szCs w:val="24"/>
        </w:rPr>
        <w:t xml:space="preserve">Need Help? </w:t>
      </w:r>
      <w:r w:rsidRPr="00253929">
        <w:rPr>
          <w:bCs/>
          <w:noProof/>
        </w:rPr>
        <w:t>– contact your BWSR regional wetland specialist o</w:t>
      </w:r>
      <w:r w:rsidR="00A86000">
        <w:rPr>
          <w:bCs/>
          <w:noProof/>
        </w:rPr>
        <w:t xml:space="preserve">r send an inquiry to </w:t>
      </w:r>
      <w:hyperlink r:id="rId10" w:history="1">
        <w:r w:rsidR="00A86000" w:rsidRPr="007C4269">
          <w:rPr>
            <w:rStyle w:val="Hyperlink"/>
            <w:bCs/>
            <w:noProof/>
            <w:color w:val="0070CB" w:themeColor="text1" w:themeTint="BF"/>
          </w:rPr>
          <w:t>LGRWRP.BWSR@state.mn.us</w:t>
        </w:r>
      </w:hyperlink>
      <w:r w:rsidR="00A86000">
        <w:rPr>
          <w:bCs/>
          <w:noProof/>
        </w:rPr>
        <w:t xml:space="preserve"> </w:t>
      </w:r>
    </w:p>
    <w:sectPr w:rsidR="00692B62" w:rsidSect="00B66CA1">
      <w:footerReference w:type="default" r:id="rId11"/>
      <w:type w:val="continuous"/>
      <w:pgSz w:w="12240" w:h="15840" w:code="1"/>
      <w:pgMar w:top="1440" w:right="1080" w:bottom="1080" w:left="1080" w:header="0" w:footer="50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B6FF7" w14:textId="77777777" w:rsidR="00FD6858" w:rsidRDefault="00FD6858">
      <w:r>
        <w:separator/>
      </w:r>
    </w:p>
  </w:endnote>
  <w:endnote w:type="continuationSeparator" w:id="0">
    <w:p w14:paraId="665EAA78" w14:textId="77777777" w:rsidR="00FD6858" w:rsidRDefault="00FD6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524604"/>
      <w:docPartObj>
        <w:docPartGallery w:val="Page Numbers (Bottom of Page)"/>
        <w:docPartUnique/>
      </w:docPartObj>
    </w:sdtPr>
    <w:sdtContent>
      <w:sdt>
        <w:sdtPr>
          <w:id w:val="-1769616900"/>
          <w:docPartObj>
            <w:docPartGallery w:val="Page Numbers (Top of Page)"/>
            <w:docPartUnique/>
          </w:docPartObj>
        </w:sdtPr>
        <w:sdtContent>
          <w:p w14:paraId="397A728D" w14:textId="147E84F0" w:rsidR="00B66CA1" w:rsidRDefault="00B66CA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3FAFB8D" w14:textId="367ECC90" w:rsidR="00B66CA1" w:rsidRDefault="00B66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F3156" w14:textId="77777777" w:rsidR="00FD6858" w:rsidRDefault="00FD6858">
      <w:r>
        <w:separator/>
      </w:r>
    </w:p>
  </w:footnote>
  <w:footnote w:type="continuationSeparator" w:id="0">
    <w:p w14:paraId="07A208C0" w14:textId="77777777" w:rsidR="00FD6858" w:rsidRDefault="00FD6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977440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9341D6"/>
    <w:multiLevelType w:val="hybridMultilevel"/>
    <w:tmpl w:val="B5B08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A882465"/>
    <w:multiLevelType w:val="hybridMultilevel"/>
    <w:tmpl w:val="E882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1F65BE"/>
    <w:multiLevelType w:val="hybridMultilevel"/>
    <w:tmpl w:val="F0300B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1D695F"/>
    <w:multiLevelType w:val="hybridMultilevel"/>
    <w:tmpl w:val="518CDFBE"/>
    <w:lvl w:ilvl="0" w:tplc="9BEA099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D836CF"/>
    <w:multiLevelType w:val="hybridMultilevel"/>
    <w:tmpl w:val="A9220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2457B8"/>
    <w:multiLevelType w:val="hybridMultilevel"/>
    <w:tmpl w:val="E884C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0075E3"/>
    <w:multiLevelType w:val="hybridMultilevel"/>
    <w:tmpl w:val="B69C23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4E5D75"/>
    <w:multiLevelType w:val="hybridMultilevel"/>
    <w:tmpl w:val="D0864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4E3FDC"/>
    <w:multiLevelType w:val="hybridMultilevel"/>
    <w:tmpl w:val="DA68482A"/>
    <w:lvl w:ilvl="0" w:tplc="E90299D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E1BE5"/>
    <w:multiLevelType w:val="hybridMultilevel"/>
    <w:tmpl w:val="7656603C"/>
    <w:lvl w:ilvl="0" w:tplc="6406D7A2">
      <w:start w:val="1"/>
      <w:numFmt w:val="bullet"/>
      <w:pStyle w:val="Lis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D5903"/>
    <w:multiLevelType w:val="hybridMultilevel"/>
    <w:tmpl w:val="340614D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53A2C29"/>
    <w:multiLevelType w:val="hybridMultilevel"/>
    <w:tmpl w:val="F59AA0E4"/>
    <w:lvl w:ilvl="0" w:tplc="3F6A59E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BE531C"/>
    <w:multiLevelType w:val="hybridMultilevel"/>
    <w:tmpl w:val="443631F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6A5F0724"/>
    <w:multiLevelType w:val="hybridMultilevel"/>
    <w:tmpl w:val="4FCE03C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FE57CC7"/>
    <w:multiLevelType w:val="hybridMultilevel"/>
    <w:tmpl w:val="983E2ED0"/>
    <w:lvl w:ilvl="0" w:tplc="59A21F5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0C619BA"/>
    <w:multiLevelType w:val="hybridMultilevel"/>
    <w:tmpl w:val="35E2A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3706F"/>
    <w:multiLevelType w:val="hybridMultilevel"/>
    <w:tmpl w:val="45624BE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339037871">
    <w:abstractNumId w:val="3"/>
  </w:num>
  <w:num w:numId="2" w16cid:durableId="1860510058">
    <w:abstractNumId w:val="7"/>
  </w:num>
  <w:num w:numId="3" w16cid:durableId="1723602279">
    <w:abstractNumId w:val="30"/>
  </w:num>
  <w:num w:numId="4" w16cid:durableId="1215386154">
    <w:abstractNumId w:val="24"/>
  </w:num>
  <w:num w:numId="5" w16cid:durableId="1169831340">
    <w:abstractNumId w:val="18"/>
  </w:num>
  <w:num w:numId="6" w16cid:durableId="661127774">
    <w:abstractNumId w:val="4"/>
  </w:num>
  <w:num w:numId="7" w16cid:durableId="1562713829">
    <w:abstractNumId w:val="16"/>
  </w:num>
  <w:num w:numId="8" w16cid:durableId="1872299607">
    <w:abstractNumId w:val="10"/>
  </w:num>
  <w:num w:numId="9" w16cid:durableId="1583949088">
    <w:abstractNumId w:val="13"/>
  </w:num>
  <w:num w:numId="10" w16cid:durableId="479538186">
    <w:abstractNumId w:val="2"/>
  </w:num>
  <w:num w:numId="11" w16cid:durableId="181096092">
    <w:abstractNumId w:val="2"/>
  </w:num>
  <w:num w:numId="12" w16cid:durableId="1170372534">
    <w:abstractNumId w:val="31"/>
  </w:num>
  <w:num w:numId="13" w16cid:durableId="515538429">
    <w:abstractNumId w:val="34"/>
  </w:num>
  <w:num w:numId="14" w16cid:durableId="465464353">
    <w:abstractNumId w:val="17"/>
  </w:num>
  <w:num w:numId="15" w16cid:durableId="343409473">
    <w:abstractNumId w:val="2"/>
  </w:num>
  <w:num w:numId="16" w16cid:durableId="16198477">
    <w:abstractNumId w:val="34"/>
  </w:num>
  <w:num w:numId="17" w16cid:durableId="1814322324">
    <w:abstractNumId w:val="17"/>
  </w:num>
  <w:num w:numId="18" w16cid:durableId="28141180">
    <w:abstractNumId w:val="12"/>
  </w:num>
  <w:num w:numId="19" w16cid:durableId="1591502854">
    <w:abstractNumId w:val="6"/>
  </w:num>
  <w:num w:numId="20" w16cid:durableId="697974783">
    <w:abstractNumId w:val="1"/>
  </w:num>
  <w:num w:numId="21" w16cid:durableId="492532615">
    <w:abstractNumId w:val="0"/>
  </w:num>
  <w:num w:numId="22" w16cid:durableId="924463249">
    <w:abstractNumId w:val="11"/>
  </w:num>
  <w:num w:numId="23" w16cid:durableId="1359087199">
    <w:abstractNumId w:val="20"/>
  </w:num>
  <w:num w:numId="24" w16cid:durableId="1470321848">
    <w:abstractNumId w:val="25"/>
  </w:num>
  <w:num w:numId="25" w16cid:durableId="1293560599">
    <w:abstractNumId w:val="26"/>
  </w:num>
  <w:num w:numId="26" w16cid:durableId="2030791292">
    <w:abstractNumId w:val="8"/>
  </w:num>
  <w:num w:numId="27" w16cid:durableId="410196216">
    <w:abstractNumId w:val="32"/>
  </w:num>
  <w:num w:numId="28" w16cid:durableId="113989139">
    <w:abstractNumId w:val="22"/>
  </w:num>
  <w:num w:numId="29" w16cid:durableId="1719165605">
    <w:abstractNumId w:val="28"/>
  </w:num>
  <w:num w:numId="30" w16cid:durableId="574127628">
    <w:abstractNumId w:val="21"/>
  </w:num>
  <w:num w:numId="31" w16cid:durableId="869412430">
    <w:abstractNumId w:val="23"/>
  </w:num>
  <w:num w:numId="32" w16cid:durableId="1217938327">
    <w:abstractNumId w:val="27"/>
  </w:num>
  <w:num w:numId="33" w16cid:durableId="1854881200">
    <w:abstractNumId w:val="14"/>
  </w:num>
  <w:num w:numId="34" w16cid:durableId="1126319137">
    <w:abstractNumId w:val="9"/>
  </w:num>
  <w:num w:numId="35" w16cid:durableId="1001548275">
    <w:abstractNumId w:val="35"/>
  </w:num>
  <w:num w:numId="36" w16cid:durableId="1682931014">
    <w:abstractNumId w:val="15"/>
  </w:num>
  <w:num w:numId="37" w16cid:durableId="1013607821">
    <w:abstractNumId w:val="33"/>
  </w:num>
  <w:num w:numId="38" w16cid:durableId="1155411989">
    <w:abstractNumId w:val="5"/>
  </w:num>
  <w:num w:numId="39" w16cid:durableId="98181166">
    <w:abstractNumId w:val="19"/>
  </w:num>
  <w:num w:numId="40" w16cid:durableId="161169964">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gOSIV0InEyQ6yoXHKkou63lFY6rv3BIJmYh8udlHazO0+LF9xF079id1kg6WYGm54Z7prU7htzrPeGf7SB4eSA==" w:salt="s0vZMYaRbm7PUhG2LwFzQw=="/>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18"/>
    <w:rsid w:val="00002DEC"/>
    <w:rsid w:val="000065AC"/>
    <w:rsid w:val="00006A0A"/>
    <w:rsid w:val="00012182"/>
    <w:rsid w:val="000276E6"/>
    <w:rsid w:val="00035AB8"/>
    <w:rsid w:val="00040DFD"/>
    <w:rsid w:val="000471E2"/>
    <w:rsid w:val="000474A4"/>
    <w:rsid w:val="00064B90"/>
    <w:rsid w:val="00070A4C"/>
    <w:rsid w:val="0007295D"/>
    <w:rsid w:val="0007374A"/>
    <w:rsid w:val="00074849"/>
    <w:rsid w:val="00076071"/>
    <w:rsid w:val="00077D38"/>
    <w:rsid w:val="00080404"/>
    <w:rsid w:val="00084742"/>
    <w:rsid w:val="000913AD"/>
    <w:rsid w:val="0009187D"/>
    <w:rsid w:val="00093A6A"/>
    <w:rsid w:val="000A0A52"/>
    <w:rsid w:val="000A2C08"/>
    <w:rsid w:val="000B2E68"/>
    <w:rsid w:val="000C0D91"/>
    <w:rsid w:val="000C1FB2"/>
    <w:rsid w:val="000C3708"/>
    <w:rsid w:val="000C3761"/>
    <w:rsid w:val="000C5BFD"/>
    <w:rsid w:val="000C7373"/>
    <w:rsid w:val="000D2CEC"/>
    <w:rsid w:val="000D371B"/>
    <w:rsid w:val="000D6879"/>
    <w:rsid w:val="000E313B"/>
    <w:rsid w:val="000E3C35"/>
    <w:rsid w:val="000E3E9D"/>
    <w:rsid w:val="000E4167"/>
    <w:rsid w:val="000F1882"/>
    <w:rsid w:val="000F46F1"/>
    <w:rsid w:val="000F4BB1"/>
    <w:rsid w:val="001116A0"/>
    <w:rsid w:val="001145C4"/>
    <w:rsid w:val="00117A77"/>
    <w:rsid w:val="001221E4"/>
    <w:rsid w:val="001236E1"/>
    <w:rsid w:val="00126831"/>
    <w:rsid w:val="00126E32"/>
    <w:rsid w:val="00132FD2"/>
    <w:rsid w:val="00135082"/>
    <w:rsid w:val="00135DC7"/>
    <w:rsid w:val="00142961"/>
    <w:rsid w:val="00145299"/>
    <w:rsid w:val="00147ED1"/>
    <w:rsid w:val="001500D6"/>
    <w:rsid w:val="0015232E"/>
    <w:rsid w:val="00157C41"/>
    <w:rsid w:val="00162144"/>
    <w:rsid w:val="001661D9"/>
    <w:rsid w:val="001708EC"/>
    <w:rsid w:val="001731C8"/>
    <w:rsid w:val="00175D1C"/>
    <w:rsid w:val="001828B5"/>
    <w:rsid w:val="00186E80"/>
    <w:rsid w:val="0019118D"/>
    <w:rsid w:val="001925A8"/>
    <w:rsid w:val="001945BA"/>
    <w:rsid w:val="00195827"/>
    <w:rsid w:val="0019673D"/>
    <w:rsid w:val="00197518"/>
    <w:rsid w:val="00197C9A"/>
    <w:rsid w:val="001A46BB"/>
    <w:rsid w:val="001B7D48"/>
    <w:rsid w:val="001C02F4"/>
    <w:rsid w:val="001C0653"/>
    <w:rsid w:val="001C55E0"/>
    <w:rsid w:val="001C66E4"/>
    <w:rsid w:val="001D49EE"/>
    <w:rsid w:val="001E51EC"/>
    <w:rsid w:val="001E5ECF"/>
    <w:rsid w:val="002009FD"/>
    <w:rsid w:val="0020215D"/>
    <w:rsid w:val="00211CA3"/>
    <w:rsid w:val="002214E2"/>
    <w:rsid w:val="00222A49"/>
    <w:rsid w:val="002244F1"/>
    <w:rsid w:val="0022552E"/>
    <w:rsid w:val="00227345"/>
    <w:rsid w:val="00233B7C"/>
    <w:rsid w:val="0024140F"/>
    <w:rsid w:val="00247C73"/>
    <w:rsid w:val="00250D44"/>
    <w:rsid w:val="00253929"/>
    <w:rsid w:val="00261247"/>
    <w:rsid w:val="00261350"/>
    <w:rsid w:val="0026257E"/>
    <w:rsid w:val="00264652"/>
    <w:rsid w:val="002652F8"/>
    <w:rsid w:val="00265D23"/>
    <w:rsid w:val="0026674F"/>
    <w:rsid w:val="0027578B"/>
    <w:rsid w:val="00277224"/>
    <w:rsid w:val="0028146F"/>
    <w:rsid w:val="00281883"/>
    <w:rsid w:val="00282084"/>
    <w:rsid w:val="00291052"/>
    <w:rsid w:val="0029389C"/>
    <w:rsid w:val="00293B05"/>
    <w:rsid w:val="0029415D"/>
    <w:rsid w:val="002970FE"/>
    <w:rsid w:val="002A7BBD"/>
    <w:rsid w:val="002B1668"/>
    <w:rsid w:val="002B42A9"/>
    <w:rsid w:val="002B5E79"/>
    <w:rsid w:val="002C0859"/>
    <w:rsid w:val="002C5579"/>
    <w:rsid w:val="002D49D9"/>
    <w:rsid w:val="002E1BFE"/>
    <w:rsid w:val="002E61ED"/>
    <w:rsid w:val="002F1947"/>
    <w:rsid w:val="00305702"/>
    <w:rsid w:val="00306C04"/>
    <w:rsid w:val="00306D94"/>
    <w:rsid w:val="0030791C"/>
    <w:rsid w:val="003125DF"/>
    <w:rsid w:val="00315852"/>
    <w:rsid w:val="0032342A"/>
    <w:rsid w:val="00327FDF"/>
    <w:rsid w:val="00330A0B"/>
    <w:rsid w:val="0033351C"/>
    <w:rsid w:val="00335736"/>
    <w:rsid w:val="00337ABE"/>
    <w:rsid w:val="00341156"/>
    <w:rsid w:val="00342D73"/>
    <w:rsid w:val="00343B50"/>
    <w:rsid w:val="003453AA"/>
    <w:rsid w:val="00351D91"/>
    <w:rsid w:val="00354A15"/>
    <w:rsid w:val="003563D2"/>
    <w:rsid w:val="00356CE6"/>
    <w:rsid w:val="0036342B"/>
    <w:rsid w:val="00376FA5"/>
    <w:rsid w:val="00392B0F"/>
    <w:rsid w:val="00395134"/>
    <w:rsid w:val="003A0EED"/>
    <w:rsid w:val="003A1479"/>
    <w:rsid w:val="003A1813"/>
    <w:rsid w:val="003B7D82"/>
    <w:rsid w:val="003C0D56"/>
    <w:rsid w:val="003C22CA"/>
    <w:rsid w:val="003C4644"/>
    <w:rsid w:val="003C58FA"/>
    <w:rsid w:val="003C5BE3"/>
    <w:rsid w:val="003C6FAE"/>
    <w:rsid w:val="003E0CC8"/>
    <w:rsid w:val="003F017B"/>
    <w:rsid w:val="003F7475"/>
    <w:rsid w:val="003F7613"/>
    <w:rsid w:val="004064AB"/>
    <w:rsid w:val="0041033E"/>
    <w:rsid w:val="00413A7C"/>
    <w:rsid w:val="004141DD"/>
    <w:rsid w:val="00417ADB"/>
    <w:rsid w:val="00441BF2"/>
    <w:rsid w:val="00445633"/>
    <w:rsid w:val="00461804"/>
    <w:rsid w:val="00462668"/>
    <w:rsid w:val="00466810"/>
    <w:rsid w:val="00466DB1"/>
    <w:rsid w:val="00471886"/>
    <w:rsid w:val="004806FA"/>
    <w:rsid w:val="004816B5"/>
    <w:rsid w:val="0048221E"/>
    <w:rsid w:val="00483DD2"/>
    <w:rsid w:val="004865BC"/>
    <w:rsid w:val="00494E6F"/>
    <w:rsid w:val="004A0E28"/>
    <w:rsid w:val="004A1B4D"/>
    <w:rsid w:val="004A1FCD"/>
    <w:rsid w:val="004A4BC1"/>
    <w:rsid w:val="004A58DD"/>
    <w:rsid w:val="004A6119"/>
    <w:rsid w:val="004A6B5A"/>
    <w:rsid w:val="004B47DC"/>
    <w:rsid w:val="004B4F0D"/>
    <w:rsid w:val="004C52A1"/>
    <w:rsid w:val="004D16D3"/>
    <w:rsid w:val="004D308D"/>
    <w:rsid w:val="004E75B3"/>
    <w:rsid w:val="004E7A39"/>
    <w:rsid w:val="004F04BA"/>
    <w:rsid w:val="004F0EFF"/>
    <w:rsid w:val="004F6D5F"/>
    <w:rsid w:val="004F73AD"/>
    <w:rsid w:val="0050093F"/>
    <w:rsid w:val="00514788"/>
    <w:rsid w:val="00535366"/>
    <w:rsid w:val="005407D2"/>
    <w:rsid w:val="00541093"/>
    <w:rsid w:val="0054371B"/>
    <w:rsid w:val="00543C3A"/>
    <w:rsid w:val="00545B59"/>
    <w:rsid w:val="00562A22"/>
    <w:rsid w:val="0056615E"/>
    <w:rsid w:val="005666F2"/>
    <w:rsid w:val="0057266C"/>
    <w:rsid w:val="00572F50"/>
    <w:rsid w:val="00576FCD"/>
    <w:rsid w:val="00587758"/>
    <w:rsid w:val="0059132A"/>
    <w:rsid w:val="0059352C"/>
    <w:rsid w:val="005B2DDF"/>
    <w:rsid w:val="005B4033"/>
    <w:rsid w:val="005B4AE7"/>
    <w:rsid w:val="005B53B0"/>
    <w:rsid w:val="005C16D8"/>
    <w:rsid w:val="005C6281"/>
    <w:rsid w:val="005D4207"/>
    <w:rsid w:val="005D45B3"/>
    <w:rsid w:val="005E315C"/>
    <w:rsid w:val="005E61DA"/>
    <w:rsid w:val="005F33DA"/>
    <w:rsid w:val="005F3532"/>
    <w:rsid w:val="005F6005"/>
    <w:rsid w:val="00605FE2"/>
    <w:rsid w:val="006064AB"/>
    <w:rsid w:val="00607AB1"/>
    <w:rsid w:val="00622306"/>
    <w:rsid w:val="00622BB5"/>
    <w:rsid w:val="00623350"/>
    <w:rsid w:val="0063656B"/>
    <w:rsid w:val="006404E5"/>
    <w:rsid w:val="0064659B"/>
    <w:rsid w:val="0065151D"/>
    <w:rsid w:val="00655345"/>
    <w:rsid w:val="0065663E"/>
    <w:rsid w:val="006613E6"/>
    <w:rsid w:val="006641D7"/>
    <w:rsid w:val="0066570F"/>
    <w:rsid w:val="00672536"/>
    <w:rsid w:val="006728AA"/>
    <w:rsid w:val="006760F3"/>
    <w:rsid w:val="00676D8C"/>
    <w:rsid w:val="006800C3"/>
    <w:rsid w:val="00681EDC"/>
    <w:rsid w:val="00682B61"/>
    <w:rsid w:val="0068649F"/>
    <w:rsid w:val="00687189"/>
    <w:rsid w:val="00692B62"/>
    <w:rsid w:val="0069516C"/>
    <w:rsid w:val="006954E2"/>
    <w:rsid w:val="00697CCC"/>
    <w:rsid w:val="006A1634"/>
    <w:rsid w:val="006A3275"/>
    <w:rsid w:val="006A3627"/>
    <w:rsid w:val="006A4045"/>
    <w:rsid w:val="006B1018"/>
    <w:rsid w:val="006B13B7"/>
    <w:rsid w:val="006B2942"/>
    <w:rsid w:val="006B3432"/>
    <w:rsid w:val="006B3994"/>
    <w:rsid w:val="006C00E4"/>
    <w:rsid w:val="006C0E45"/>
    <w:rsid w:val="006C12A7"/>
    <w:rsid w:val="006D4829"/>
    <w:rsid w:val="006E1FCE"/>
    <w:rsid w:val="006E3236"/>
    <w:rsid w:val="006E57BC"/>
    <w:rsid w:val="006E5CFF"/>
    <w:rsid w:val="006F3B38"/>
    <w:rsid w:val="00707FC3"/>
    <w:rsid w:val="007137A4"/>
    <w:rsid w:val="00724927"/>
    <w:rsid w:val="00730843"/>
    <w:rsid w:val="00742AD7"/>
    <w:rsid w:val="0074778B"/>
    <w:rsid w:val="00750A18"/>
    <w:rsid w:val="0076718F"/>
    <w:rsid w:val="0077225E"/>
    <w:rsid w:val="00773677"/>
    <w:rsid w:val="00786491"/>
    <w:rsid w:val="00793F48"/>
    <w:rsid w:val="007A1983"/>
    <w:rsid w:val="007A5525"/>
    <w:rsid w:val="007B21EB"/>
    <w:rsid w:val="007B35B2"/>
    <w:rsid w:val="007B4DEB"/>
    <w:rsid w:val="007B597E"/>
    <w:rsid w:val="007C28EF"/>
    <w:rsid w:val="007C4269"/>
    <w:rsid w:val="007D1048"/>
    <w:rsid w:val="007D1FFF"/>
    <w:rsid w:val="007D42A0"/>
    <w:rsid w:val="007D607E"/>
    <w:rsid w:val="007E685C"/>
    <w:rsid w:val="007F6108"/>
    <w:rsid w:val="007F7097"/>
    <w:rsid w:val="0080056B"/>
    <w:rsid w:val="008036B2"/>
    <w:rsid w:val="008067A6"/>
    <w:rsid w:val="008140CC"/>
    <w:rsid w:val="00820144"/>
    <w:rsid w:val="008251B3"/>
    <w:rsid w:val="00840B7B"/>
    <w:rsid w:val="00842FC4"/>
    <w:rsid w:val="00843386"/>
    <w:rsid w:val="00844F1D"/>
    <w:rsid w:val="0084749F"/>
    <w:rsid w:val="00854B98"/>
    <w:rsid w:val="00864202"/>
    <w:rsid w:val="00865C94"/>
    <w:rsid w:val="00881A4F"/>
    <w:rsid w:val="00881B1F"/>
    <w:rsid w:val="00881E8E"/>
    <w:rsid w:val="008843A5"/>
    <w:rsid w:val="008A1CE1"/>
    <w:rsid w:val="008A617C"/>
    <w:rsid w:val="008B5443"/>
    <w:rsid w:val="008C1993"/>
    <w:rsid w:val="008C6AA6"/>
    <w:rsid w:val="008C7EEB"/>
    <w:rsid w:val="008D0DEF"/>
    <w:rsid w:val="008D0F11"/>
    <w:rsid w:val="008D2256"/>
    <w:rsid w:val="008D5E3D"/>
    <w:rsid w:val="008F0E29"/>
    <w:rsid w:val="008F165D"/>
    <w:rsid w:val="008F38DA"/>
    <w:rsid w:val="00903A9D"/>
    <w:rsid w:val="0090737A"/>
    <w:rsid w:val="00907F3C"/>
    <w:rsid w:val="00921DE1"/>
    <w:rsid w:val="00931563"/>
    <w:rsid w:val="00934648"/>
    <w:rsid w:val="009361C6"/>
    <w:rsid w:val="009372F6"/>
    <w:rsid w:val="0094157A"/>
    <w:rsid w:val="00943576"/>
    <w:rsid w:val="0096108C"/>
    <w:rsid w:val="00963BA0"/>
    <w:rsid w:val="00967764"/>
    <w:rsid w:val="00970366"/>
    <w:rsid w:val="009810EE"/>
    <w:rsid w:val="00984A2E"/>
    <w:rsid w:val="00984CC9"/>
    <w:rsid w:val="00990E51"/>
    <w:rsid w:val="0099233F"/>
    <w:rsid w:val="009958A6"/>
    <w:rsid w:val="009B1A30"/>
    <w:rsid w:val="009B54A0"/>
    <w:rsid w:val="009B6494"/>
    <w:rsid w:val="009C1C34"/>
    <w:rsid w:val="009C6405"/>
    <w:rsid w:val="009E11D1"/>
    <w:rsid w:val="009E1BA0"/>
    <w:rsid w:val="009E2B26"/>
    <w:rsid w:val="009E3734"/>
    <w:rsid w:val="009E415E"/>
    <w:rsid w:val="009E4319"/>
    <w:rsid w:val="009F6B2C"/>
    <w:rsid w:val="009F7A44"/>
    <w:rsid w:val="00A0262F"/>
    <w:rsid w:val="00A040E3"/>
    <w:rsid w:val="00A05CD2"/>
    <w:rsid w:val="00A06E23"/>
    <w:rsid w:val="00A151EE"/>
    <w:rsid w:val="00A1568C"/>
    <w:rsid w:val="00A2353B"/>
    <w:rsid w:val="00A275C8"/>
    <w:rsid w:val="00A30799"/>
    <w:rsid w:val="00A3704B"/>
    <w:rsid w:val="00A52E1D"/>
    <w:rsid w:val="00A54D5F"/>
    <w:rsid w:val="00A57671"/>
    <w:rsid w:val="00A57FE8"/>
    <w:rsid w:val="00A60536"/>
    <w:rsid w:val="00A639C5"/>
    <w:rsid w:val="00A64ECE"/>
    <w:rsid w:val="00A66185"/>
    <w:rsid w:val="00A71CAD"/>
    <w:rsid w:val="00A731A2"/>
    <w:rsid w:val="00A808C1"/>
    <w:rsid w:val="00A827B0"/>
    <w:rsid w:val="00A827C1"/>
    <w:rsid w:val="00A86000"/>
    <w:rsid w:val="00A93F40"/>
    <w:rsid w:val="00A96F93"/>
    <w:rsid w:val="00AB0E41"/>
    <w:rsid w:val="00AD15AC"/>
    <w:rsid w:val="00AD39DA"/>
    <w:rsid w:val="00AE5772"/>
    <w:rsid w:val="00AE6BF0"/>
    <w:rsid w:val="00AE78FE"/>
    <w:rsid w:val="00AF22AD"/>
    <w:rsid w:val="00AF5107"/>
    <w:rsid w:val="00B06192"/>
    <w:rsid w:val="00B06264"/>
    <w:rsid w:val="00B07C8F"/>
    <w:rsid w:val="00B130CC"/>
    <w:rsid w:val="00B1513D"/>
    <w:rsid w:val="00B17550"/>
    <w:rsid w:val="00B225DB"/>
    <w:rsid w:val="00B2483E"/>
    <w:rsid w:val="00B275D4"/>
    <w:rsid w:val="00B51F2A"/>
    <w:rsid w:val="00B525D5"/>
    <w:rsid w:val="00B61F2B"/>
    <w:rsid w:val="00B66CA1"/>
    <w:rsid w:val="00B72DAF"/>
    <w:rsid w:val="00B75051"/>
    <w:rsid w:val="00B764E5"/>
    <w:rsid w:val="00B859DE"/>
    <w:rsid w:val="00B915CA"/>
    <w:rsid w:val="00B9220A"/>
    <w:rsid w:val="00B93D9F"/>
    <w:rsid w:val="00BA0A34"/>
    <w:rsid w:val="00BA7A2F"/>
    <w:rsid w:val="00BB1C0C"/>
    <w:rsid w:val="00BB4325"/>
    <w:rsid w:val="00BB4A8A"/>
    <w:rsid w:val="00BB5C28"/>
    <w:rsid w:val="00BD0E59"/>
    <w:rsid w:val="00BD5E12"/>
    <w:rsid w:val="00BD6254"/>
    <w:rsid w:val="00BE3444"/>
    <w:rsid w:val="00BF0F0C"/>
    <w:rsid w:val="00BF13E3"/>
    <w:rsid w:val="00C12D2F"/>
    <w:rsid w:val="00C21F58"/>
    <w:rsid w:val="00C23D30"/>
    <w:rsid w:val="00C277A8"/>
    <w:rsid w:val="00C309AE"/>
    <w:rsid w:val="00C3276B"/>
    <w:rsid w:val="00C365CE"/>
    <w:rsid w:val="00C417EB"/>
    <w:rsid w:val="00C50914"/>
    <w:rsid w:val="00C528AE"/>
    <w:rsid w:val="00C564CF"/>
    <w:rsid w:val="00C71A53"/>
    <w:rsid w:val="00C720A6"/>
    <w:rsid w:val="00C73C65"/>
    <w:rsid w:val="00C85400"/>
    <w:rsid w:val="00C96A06"/>
    <w:rsid w:val="00CA51AF"/>
    <w:rsid w:val="00CA73A9"/>
    <w:rsid w:val="00CB4959"/>
    <w:rsid w:val="00CB7C63"/>
    <w:rsid w:val="00CB7F65"/>
    <w:rsid w:val="00CC0DA0"/>
    <w:rsid w:val="00CC4AF4"/>
    <w:rsid w:val="00CD3C0F"/>
    <w:rsid w:val="00CE45B0"/>
    <w:rsid w:val="00CE570D"/>
    <w:rsid w:val="00D0014D"/>
    <w:rsid w:val="00D13494"/>
    <w:rsid w:val="00D17759"/>
    <w:rsid w:val="00D22819"/>
    <w:rsid w:val="00D24FA3"/>
    <w:rsid w:val="00D43155"/>
    <w:rsid w:val="00D44010"/>
    <w:rsid w:val="00D511F0"/>
    <w:rsid w:val="00D53999"/>
    <w:rsid w:val="00D5419C"/>
    <w:rsid w:val="00D54EE5"/>
    <w:rsid w:val="00D63F82"/>
    <w:rsid w:val="00D640FC"/>
    <w:rsid w:val="00D647E5"/>
    <w:rsid w:val="00D7050E"/>
    <w:rsid w:val="00D70F7D"/>
    <w:rsid w:val="00D717AA"/>
    <w:rsid w:val="00D74983"/>
    <w:rsid w:val="00D75D5D"/>
    <w:rsid w:val="00D8176D"/>
    <w:rsid w:val="00D92929"/>
    <w:rsid w:val="00D93C2E"/>
    <w:rsid w:val="00D95BF5"/>
    <w:rsid w:val="00D9698B"/>
    <w:rsid w:val="00D970A5"/>
    <w:rsid w:val="00DA19E6"/>
    <w:rsid w:val="00DA1BE3"/>
    <w:rsid w:val="00DA57F6"/>
    <w:rsid w:val="00DA5F3C"/>
    <w:rsid w:val="00DB4967"/>
    <w:rsid w:val="00DC22CF"/>
    <w:rsid w:val="00DE50CB"/>
    <w:rsid w:val="00DF3D58"/>
    <w:rsid w:val="00DF6946"/>
    <w:rsid w:val="00E164BC"/>
    <w:rsid w:val="00E2013C"/>
    <w:rsid w:val="00E206AE"/>
    <w:rsid w:val="00E23397"/>
    <w:rsid w:val="00E27B07"/>
    <w:rsid w:val="00E32CD7"/>
    <w:rsid w:val="00E405C6"/>
    <w:rsid w:val="00E44EE1"/>
    <w:rsid w:val="00E46BDF"/>
    <w:rsid w:val="00E47D99"/>
    <w:rsid w:val="00E5241D"/>
    <w:rsid w:val="00E54284"/>
    <w:rsid w:val="00E5475C"/>
    <w:rsid w:val="00E5680C"/>
    <w:rsid w:val="00E60929"/>
    <w:rsid w:val="00E61A16"/>
    <w:rsid w:val="00E7050C"/>
    <w:rsid w:val="00E72E95"/>
    <w:rsid w:val="00E76267"/>
    <w:rsid w:val="00E80121"/>
    <w:rsid w:val="00E85D4D"/>
    <w:rsid w:val="00E8612E"/>
    <w:rsid w:val="00E905D3"/>
    <w:rsid w:val="00E91FAC"/>
    <w:rsid w:val="00E96C60"/>
    <w:rsid w:val="00EA535B"/>
    <w:rsid w:val="00EA7E51"/>
    <w:rsid w:val="00EA7E60"/>
    <w:rsid w:val="00EB4439"/>
    <w:rsid w:val="00EC0947"/>
    <w:rsid w:val="00EC1C94"/>
    <w:rsid w:val="00EC579D"/>
    <w:rsid w:val="00ED5BDC"/>
    <w:rsid w:val="00ED744C"/>
    <w:rsid w:val="00ED7DAC"/>
    <w:rsid w:val="00EE6412"/>
    <w:rsid w:val="00EF3329"/>
    <w:rsid w:val="00EF675D"/>
    <w:rsid w:val="00EF718D"/>
    <w:rsid w:val="00EF75ED"/>
    <w:rsid w:val="00EF7624"/>
    <w:rsid w:val="00F04F4C"/>
    <w:rsid w:val="00F067A6"/>
    <w:rsid w:val="00F06AC7"/>
    <w:rsid w:val="00F1301C"/>
    <w:rsid w:val="00F13BCB"/>
    <w:rsid w:val="00F17861"/>
    <w:rsid w:val="00F20B25"/>
    <w:rsid w:val="00F212F3"/>
    <w:rsid w:val="00F25935"/>
    <w:rsid w:val="00F31FDD"/>
    <w:rsid w:val="00F43ADE"/>
    <w:rsid w:val="00F4775B"/>
    <w:rsid w:val="00F56451"/>
    <w:rsid w:val="00F6107C"/>
    <w:rsid w:val="00F676EE"/>
    <w:rsid w:val="00F70C03"/>
    <w:rsid w:val="00F72E58"/>
    <w:rsid w:val="00F80E88"/>
    <w:rsid w:val="00F904B9"/>
    <w:rsid w:val="00F9084A"/>
    <w:rsid w:val="00F912F1"/>
    <w:rsid w:val="00FB5EC8"/>
    <w:rsid w:val="00FB6E40"/>
    <w:rsid w:val="00FC1062"/>
    <w:rsid w:val="00FC577C"/>
    <w:rsid w:val="00FD1CCB"/>
    <w:rsid w:val="00FD6858"/>
    <w:rsid w:val="00FE1540"/>
    <w:rsid w:val="00FF3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C26DC"/>
  <w15:docId w15:val="{96ED1C69-225F-4D02-AE84-D660C6D0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F6946"/>
  </w:style>
  <w:style w:type="paragraph" w:styleId="Heading1">
    <w:name w:val="heading 1"/>
    <w:next w:val="BodyText"/>
    <w:link w:val="Heading1Char"/>
    <w:uiPriority w:val="1"/>
    <w:qFormat/>
    <w:rsid w:val="00ED5BDC"/>
    <w:pPr>
      <w:keepNext/>
      <w:keepLines/>
      <w:tabs>
        <w:tab w:val="left" w:pos="3345"/>
      </w:tabs>
      <w:spacing w:before="240" w:after="120"/>
      <w:outlineLvl w:val="0"/>
    </w:pPr>
    <w:rPr>
      <w:b/>
      <w:color w:val="003865"/>
      <w:sz w:val="40"/>
      <w:szCs w:val="40"/>
    </w:rPr>
  </w:style>
  <w:style w:type="paragraph" w:styleId="Heading2">
    <w:name w:val="heading 2"/>
    <w:next w:val="BodyText"/>
    <w:link w:val="Heading2Char"/>
    <w:uiPriority w:val="1"/>
    <w:qFormat/>
    <w:rsid w:val="00ED5BDC"/>
    <w:pPr>
      <w:keepNext/>
      <w:keepLines/>
      <w:pBdr>
        <w:bottom w:val="single" w:sz="4" w:space="1" w:color="auto"/>
      </w:pBdr>
      <w:tabs>
        <w:tab w:val="left" w:pos="2400"/>
      </w:tabs>
      <w:spacing w:before="240" w:after="240"/>
      <w:outlineLvl w:val="1"/>
    </w:pPr>
    <w:rPr>
      <w:rFonts w:asciiTheme="minorHAnsi" w:eastAsiaTheme="majorEastAsia" w:hAnsiTheme="minorHAnsi" w:cstheme="majorBidi"/>
      <w:b/>
      <w:bCs/>
      <w:color w:val="003865"/>
      <w:sz w:val="32"/>
      <w:szCs w:val="32"/>
    </w:rPr>
  </w:style>
  <w:style w:type="paragraph" w:styleId="Heading3">
    <w:name w:val="heading 3"/>
    <w:next w:val="BodyText"/>
    <w:link w:val="Heading3Char"/>
    <w:uiPriority w:val="1"/>
    <w:qFormat/>
    <w:rsid w:val="00D970A5"/>
    <w:pPr>
      <w:keepNext/>
      <w:tabs>
        <w:tab w:val="left" w:pos="735"/>
      </w:tabs>
      <w:spacing w:before="240" w:after="120"/>
      <w:outlineLvl w:val="2"/>
    </w:pPr>
    <w:rPr>
      <w:rFonts w:asciiTheme="minorHAnsi" w:eastAsiaTheme="majorEastAsia" w:hAnsiTheme="minorHAnsi" w:cs="Arial"/>
      <w:b/>
      <w:color w:val="003865"/>
      <w:sz w:val="24"/>
      <w:szCs w:val="24"/>
    </w:rPr>
  </w:style>
  <w:style w:type="paragraph" w:styleId="Heading4">
    <w:name w:val="heading 4"/>
    <w:next w:val="BodyText"/>
    <w:link w:val="Heading4Char"/>
    <w:uiPriority w:val="1"/>
    <w:qFormat/>
    <w:rsid w:val="00ED5BDC"/>
    <w:pPr>
      <w:keepNext/>
      <w:tabs>
        <w:tab w:val="right" w:pos="9360"/>
      </w:tabs>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semiHidden/>
    <w:unhideWhenUsed/>
    <w:qFormat/>
    <w:rsid w:val="001E5ECF"/>
    <w:pPr>
      <w:keepNext/>
      <w:keepLines/>
      <w:spacing w:before="200"/>
      <w:outlineLvl w:val="4"/>
    </w:pPr>
    <w:rPr>
      <w:rFonts w:asciiTheme="majorHAnsi" w:eastAsiaTheme="majorEastAsia" w:hAnsiTheme="majorHAnsi" w:cstheme="majorBidi"/>
      <w:color w:val="001B32" w:themeColor="accent1" w:themeShade="7F"/>
    </w:rPr>
  </w:style>
  <w:style w:type="paragraph" w:styleId="Heading6">
    <w:name w:val="heading 6"/>
    <w:basedOn w:val="Normal"/>
    <w:next w:val="Normal"/>
    <w:link w:val="Heading6Char"/>
    <w:uiPriority w:val="1"/>
    <w:semiHidden/>
    <w:unhideWhenUsed/>
    <w:qFormat/>
    <w:rsid w:val="001E5ECF"/>
    <w:pPr>
      <w:keepNext/>
      <w:keepLines/>
      <w:spacing w:before="200"/>
      <w:outlineLvl w:val="5"/>
    </w:pPr>
    <w:rPr>
      <w:rFonts w:asciiTheme="majorHAnsi" w:eastAsiaTheme="majorEastAsia" w:hAnsiTheme="majorHAnsi" w:cstheme="majorBidi"/>
      <w:i/>
      <w:iCs/>
      <w:color w:val="001B32" w:themeColor="accent1" w:themeShade="7F"/>
    </w:rPr>
  </w:style>
  <w:style w:type="paragraph" w:styleId="Heading7">
    <w:name w:val="heading 7"/>
    <w:basedOn w:val="Normal"/>
    <w:next w:val="Normal"/>
    <w:link w:val="Heading7Char"/>
    <w:uiPriority w:val="1"/>
    <w:semiHidden/>
    <w:unhideWhenUsed/>
    <w:qFormat/>
    <w:rsid w:val="001E5ECF"/>
    <w:pPr>
      <w:keepNext/>
      <w:keepLines/>
      <w:spacing w:before="200"/>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spacing w:before="200"/>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spacing w:before="200"/>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68649F"/>
    <w:pPr>
      <w:spacing w:before="200" w:after="200"/>
    </w:pPr>
    <w:rPr>
      <w:rFonts w:asciiTheme="minorHAnsi" w:hAnsiTheme="minorHAnsi"/>
    </w:rPr>
  </w:style>
  <w:style w:type="character" w:customStyle="1" w:styleId="BodyTextChar">
    <w:name w:val="Body Text Char"/>
    <w:basedOn w:val="DefaultParagraphFont"/>
    <w:link w:val="BodyText"/>
    <w:rsid w:val="0068649F"/>
    <w:rPr>
      <w:rFonts w:asciiTheme="minorHAnsi" w:hAnsiTheme="minorHAnsi"/>
      <w:sz w:val="22"/>
      <w:szCs w:val="22"/>
    </w:rPr>
  </w:style>
  <w:style w:type="character" w:customStyle="1" w:styleId="Heading1Char">
    <w:name w:val="Heading 1 Char"/>
    <w:basedOn w:val="DefaultParagraphFont"/>
    <w:link w:val="Heading1"/>
    <w:uiPriority w:val="1"/>
    <w:rsid w:val="00ED5BDC"/>
    <w:rPr>
      <w:rFonts w:ascii="Calibri" w:hAnsi="Calibri"/>
      <w:b/>
      <w:color w:val="003865"/>
      <w:sz w:val="40"/>
      <w:szCs w:val="40"/>
    </w:rPr>
  </w:style>
  <w:style w:type="character" w:customStyle="1" w:styleId="Heading2Char">
    <w:name w:val="Heading 2 Char"/>
    <w:basedOn w:val="DefaultParagraphFont"/>
    <w:link w:val="Heading2"/>
    <w:uiPriority w:val="1"/>
    <w:rsid w:val="00ED5BDC"/>
    <w:rPr>
      <w:rFonts w:asciiTheme="minorHAnsi" w:eastAsiaTheme="majorEastAsia" w:hAnsiTheme="minorHAnsi" w:cstheme="majorBidi"/>
      <w:b/>
      <w:bCs/>
      <w:color w:val="003865"/>
      <w:sz w:val="32"/>
      <w:szCs w:val="32"/>
    </w:rPr>
  </w:style>
  <w:style w:type="character" w:customStyle="1" w:styleId="Heading3Char">
    <w:name w:val="Heading 3 Char"/>
    <w:basedOn w:val="DefaultParagraphFont"/>
    <w:link w:val="Heading3"/>
    <w:uiPriority w:val="1"/>
    <w:rsid w:val="00D970A5"/>
    <w:rPr>
      <w:rFonts w:asciiTheme="minorHAnsi" w:eastAsiaTheme="majorEastAsia" w:hAnsiTheme="minorHAnsi" w:cs="Arial"/>
      <w:b/>
      <w:color w:val="003865"/>
      <w:sz w:val="24"/>
      <w:szCs w:val="24"/>
    </w:rPr>
  </w:style>
  <w:style w:type="character" w:customStyle="1" w:styleId="Heading4Char">
    <w:name w:val="Heading 4 Char"/>
    <w:basedOn w:val="DefaultParagraphFont"/>
    <w:link w:val="Heading4"/>
    <w:uiPriority w:val="1"/>
    <w:rsid w:val="00ED5BDC"/>
    <w:rPr>
      <w:rFonts w:ascii="Calibri" w:eastAsiaTheme="majorEastAsia" w:hAnsi="Calibri" w:cstheme="majorBidi"/>
      <w:i/>
      <w:sz w:val="24"/>
      <w:szCs w:val="24"/>
    </w:rPr>
  </w:style>
  <w:style w:type="character" w:customStyle="1" w:styleId="Heading5Char">
    <w:name w:val="Heading 5 Char"/>
    <w:basedOn w:val="DefaultParagraphFont"/>
    <w:link w:val="Heading5"/>
    <w:uiPriority w:val="1"/>
    <w:semiHidden/>
    <w:rsid w:val="001E5ECF"/>
    <w:rPr>
      <w:rFonts w:asciiTheme="majorHAnsi" w:eastAsiaTheme="majorEastAsia" w:hAnsiTheme="majorHAnsi" w:cstheme="majorBidi"/>
      <w:color w:val="001B32" w:themeColor="accent1" w:themeShade="7F"/>
    </w:rPr>
  </w:style>
  <w:style w:type="character" w:customStyle="1" w:styleId="Heading6Char">
    <w:name w:val="Heading 6 Char"/>
    <w:basedOn w:val="DefaultParagraphFont"/>
    <w:link w:val="Heading6"/>
    <w:uiPriority w:val="1"/>
    <w:semiHidden/>
    <w:rsid w:val="008D5E3D"/>
    <w:rPr>
      <w:rFonts w:asciiTheme="majorHAnsi" w:eastAsiaTheme="majorEastAsia" w:hAnsiTheme="majorHAnsi" w:cstheme="majorBidi"/>
      <w:i/>
      <w:iCs/>
      <w:color w:val="001B32" w:themeColor="accent1" w:themeShade="7F"/>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paragraph" w:styleId="Header">
    <w:name w:val="header"/>
    <w:basedOn w:val="Normal"/>
    <w:link w:val="HeaderChar"/>
    <w:uiPriority w:val="99"/>
    <w:unhideWhenUsed/>
    <w:rsid w:val="009F6B2C"/>
    <w:pPr>
      <w:tabs>
        <w:tab w:val="center" w:pos="4680"/>
        <w:tab w:val="right" w:pos="9360"/>
      </w:tabs>
      <w:spacing w:before="0" w:line="240" w:lineRule="auto"/>
    </w:pPr>
  </w:style>
  <w:style w:type="character" w:customStyle="1" w:styleId="HeaderChar">
    <w:name w:val="Header Char"/>
    <w:basedOn w:val="DefaultParagraphFont"/>
    <w:link w:val="Header"/>
    <w:uiPriority w:val="99"/>
    <w:rsid w:val="009F6B2C"/>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semiHidden/>
    <w:rsid w:val="001E5ECF"/>
    <w:rPr>
      <w:color w:val="00A3E2" w:themeColor="hyperlink"/>
      <w:u w:val="single"/>
    </w:rPr>
  </w:style>
  <w:style w:type="paragraph" w:styleId="Footer">
    <w:name w:val="footer"/>
    <w:basedOn w:val="Normal"/>
    <w:link w:val="FooterChar"/>
    <w:uiPriority w:val="99"/>
    <w:unhideWhenUsed/>
    <w:qFormat/>
    <w:rsid w:val="009F6B2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9F6B2C"/>
  </w:style>
  <w:style w:type="paragraph" w:styleId="ListNumber">
    <w:name w:val="List Number"/>
    <w:basedOn w:val="BodyText"/>
    <w:semiHidden/>
    <w:rsid w:val="001E5ECF"/>
    <w:pPr>
      <w:numPr>
        <w:numId w:val="15"/>
      </w:numPr>
    </w:p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D970A5"/>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customStyle="1" w:styleId="TableFiguretitle">
    <w:name w:val="Table/Figure title"/>
    <w:basedOn w:val="Heading3"/>
    <w:next w:val="Normal"/>
    <w:rsid w:val="00197518"/>
    <w:pPr>
      <w:spacing w:line="240" w:lineRule="auto"/>
      <w:jc w:val="center"/>
    </w:pPr>
    <w:rPr>
      <w:rFonts w:eastAsia="Times New Roman"/>
      <w:iCs/>
      <w:sz w:val="22"/>
      <w:szCs w:val="28"/>
    </w:r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customStyle="1" w:styleId="Boldcharacter">
    <w:name w:val="Bold character"/>
    <w:basedOn w:val="Normal"/>
    <w:link w:val="BoldcharacterChar"/>
    <w:autoRedefine/>
    <w:semiHidden/>
    <w:qFormat/>
    <w:rsid w:val="002F1947"/>
    <w:pPr>
      <w:spacing w:line="280" w:lineRule="exact"/>
      <w:contextualSpacing/>
    </w:pPr>
    <w:rPr>
      <w:b/>
      <w:lang w:val="en-GB"/>
    </w:rPr>
  </w:style>
  <w:style w:type="character" w:customStyle="1" w:styleId="BoldcharacterChar">
    <w:name w:val="Bold character Char"/>
    <w:basedOn w:val="DefaultParagraphFont"/>
    <w:link w:val="Boldcharacter"/>
    <w:semiHidden/>
    <w:rsid w:val="002F1947"/>
    <w:rPr>
      <w:b/>
      <w:sz w:val="22"/>
      <w:szCs w:val="22"/>
      <w:lang w:val="en-GB"/>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before="0"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List">
    <w:name w:val="List"/>
    <w:basedOn w:val="Normal"/>
    <w:qFormat/>
    <w:rsid w:val="005666F2"/>
    <w:pPr>
      <w:numPr>
        <w:numId w:val="24"/>
      </w:numPr>
      <w:spacing w:line="300" w:lineRule="auto"/>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paragraph" w:customStyle="1" w:styleId="TableH1">
    <w:name w:val="Table H1"/>
    <w:basedOn w:val="BodyText"/>
    <w:next w:val="Normal"/>
    <w:link w:val="TableH1Char"/>
    <w:uiPriority w:val="3"/>
    <w:qFormat/>
    <w:rsid w:val="009F6B2C"/>
    <w:pPr>
      <w:spacing w:line="240" w:lineRule="auto"/>
      <w:jc w:val="center"/>
    </w:pPr>
    <w:rPr>
      <w:b/>
      <w:lang w:bidi="ar-SA"/>
    </w:rPr>
  </w:style>
  <w:style w:type="character" w:customStyle="1" w:styleId="TableH1Char">
    <w:name w:val="Table H1 Char"/>
    <w:basedOn w:val="DefaultParagraphFont"/>
    <w:link w:val="TableH1"/>
    <w:uiPriority w:val="3"/>
    <w:rsid w:val="009F6B2C"/>
    <w:rPr>
      <w:rFonts w:asciiTheme="minorHAnsi" w:hAnsiTheme="minorHAnsi"/>
      <w:b/>
      <w:lang w:bidi="ar-SA"/>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1">
    <w:name w:val="Table Grid11"/>
    <w:basedOn w:val="TableNormal"/>
    <w:uiPriority w:val="59"/>
    <w:locked/>
    <w:rsid w:val="00BE3444"/>
    <w:pPr>
      <w:spacing w:line="240" w:lineRule="auto"/>
    </w:pPr>
    <w:rPr>
      <w:lang w:bidi="ar-SA"/>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FFFFFF"/>
    </w:tcPr>
    <w:tblStylePr w:type="firstRow">
      <w:pPr>
        <w:jc w:val="center"/>
      </w:pPr>
      <w:rPr>
        <w:rFonts w:ascii="Calibri" w:hAnsi="Calibri"/>
        <w:b/>
        <w:sz w:val="22"/>
      </w:rPr>
      <w:tblPr/>
      <w:tcPr>
        <w:shd w:val="clear" w:color="auto" w:fill="D9D9D9"/>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F2F2F2"/>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FFFFFF"/>
      </w:tcPr>
    </w:tblStylePr>
  </w:style>
  <w:style w:type="paragraph" w:styleId="ListParagraph">
    <w:name w:val="List Paragraph"/>
    <w:basedOn w:val="Normal"/>
    <w:uiPriority w:val="34"/>
    <w:qFormat/>
    <w:rsid w:val="00076071"/>
    <w:pPr>
      <w:spacing w:before="0" w:after="160" w:line="259" w:lineRule="auto"/>
      <w:ind w:left="720"/>
      <w:contextualSpacing/>
    </w:pPr>
    <w:rPr>
      <w:rFonts w:asciiTheme="minorHAnsi" w:eastAsiaTheme="minorHAnsi" w:hAnsiTheme="minorHAnsi" w:cstheme="minorBidi"/>
      <w:lang w:bidi="ar-SA"/>
    </w:rPr>
  </w:style>
  <w:style w:type="character" w:styleId="UnresolvedMention">
    <w:name w:val="Unresolved Mention"/>
    <w:basedOn w:val="DefaultParagraphFont"/>
    <w:uiPriority w:val="99"/>
    <w:semiHidden/>
    <w:unhideWhenUsed/>
    <w:rsid w:val="00E405C6"/>
    <w:rPr>
      <w:color w:val="605E5C"/>
      <w:shd w:val="clear" w:color="auto" w:fill="E1DFDD"/>
    </w:rPr>
  </w:style>
  <w:style w:type="character" w:styleId="FollowedHyperlink">
    <w:name w:val="FollowedHyperlink"/>
    <w:basedOn w:val="DefaultParagraphFont"/>
    <w:semiHidden/>
    <w:unhideWhenUsed/>
    <w:rsid w:val="00A06E23"/>
    <w:rPr>
      <w:color w:val="007AA9" w:themeColor="followedHyperlink"/>
      <w:u w:val="single"/>
    </w:rPr>
  </w:style>
  <w:style w:type="paragraph" w:customStyle="1" w:styleId="Default">
    <w:name w:val="Default"/>
    <w:rsid w:val="00F72E58"/>
    <w:pPr>
      <w:autoSpaceDE w:val="0"/>
      <w:autoSpaceDN w:val="0"/>
      <w:adjustRightInd w:val="0"/>
      <w:spacing w:before="0" w:line="240" w:lineRule="auto"/>
    </w:pPr>
    <w:rPr>
      <w:rFonts w:cs="Calibri"/>
      <w:color w:val="000000"/>
      <w:sz w:val="24"/>
      <w:szCs w:val="24"/>
      <w:lang w:bidi="ar-SA"/>
    </w:rPr>
  </w:style>
  <w:style w:type="table" w:customStyle="1" w:styleId="TableGrid2">
    <w:name w:val="Table Grid2"/>
    <w:basedOn w:val="TableNormal"/>
    <w:next w:val="TableGrid"/>
    <w:uiPriority w:val="39"/>
    <w:rsid w:val="008843A5"/>
    <w:pPr>
      <w:spacing w:before="0" w:line="240" w:lineRule="auto"/>
    </w:pPr>
    <w:rPr>
      <w:rFonts w:eastAsia="Calibri"/>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85400"/>
    <w:rPr>
      <w:sz w:val="16"/>
      <w:szCs w:val="16"/>
    </w:rPr>
  </w:style>
  <w:style w:type="paragraph" w:styleId="CommentText">
    <w:name w:val="annotation text"/>
    <w:basedOn w:val="Normal"/>
    <w:link w:val="CommentTextChar"/>
    <w:semiHidden/>
    <w:unhideWhenUsed/>
    <w:rsid w:val="00C85400"/>
    <w:pPr>
      <w:spacing w:line="240" w:lineRule="auto"/>
    </w:pPr>
    <w:rPr>
      <w:sz w:val="20"/>
      <w:szCs w:val="20"/>
    </w:rPr>
  </w:style>
  <w:style w:type="character" w:customStyle="1" w:styleId="CommentTextChar">
    <w:name w:val="Comment Text Char"/>
    <w:basedOn w:val="DefaultParagraphFont"/>
    <w:link w:val="CommentText"/>
    <w:semiHidden/>
    <w:rsid w:val="00C85400"/>
    <w:rPr>
      <w:sz w:val="20"/>
      <w:szCs w:val="20"/>
    </w:rPr>
  </w:style>
  <w:style w:type="paragraph" w:styleId="CommentSubject">
    <w:name w:val="annotation subject"/>
    <w:basedOn w:val="CommentText"/>
    <w:next w:val="CommentText"/>
    <w:link w:val="CommentSubjectChar"/>
    <w:semiHidden/>
    <w:unhideWhenUsed/>
    <w:rsid w:val="00C85400"/>
    <w:rPr>
      <w:b/>
      <w:bCs/>
    </w:rPr>
  </w:style>
  <w:style w:type="character" w:customStyle="1" w:styleId="CommentSubjectChar">
    <w:name w:val="Comment Subject Char"/>
    <w:basedOn w:val="CommentTextChar"/>
    <w:link w:val="CommentSubject"/>
    <w:semiHidden/>
    <w:rsid w:val="00C854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164123761">
      <w:bodyDiv w:val="1"/>
      <w:marLeft w:val="0"/>
      <w:marRight w:val="0"/>
      <w:marTop w:val="0"/>
      <w:marBottom w:val="0"/>
      <w:divBdr>
        <w:top w:val="none" w:sz="0" w:space="0" w:color="auto"/>
        <w:left w:val="none" w:sz="0" w:space="0" w:color="auto"/>
        <w:bottom w:val="none" w:sz="0" w:space="0" w:color="auto"/>
        <w:right w:val="none" w:sz="0" w:space="0" w:color="auto"/>
      </w:divBdr>
    </w:div>
    <w:div w:id="1363288141">
      <w:bodyDiv w:val="1"/>
      <w:marLeft w:val="0"/>
      <w:marRight w:val="0"/>
      <w:marTop w:val="0"/>
      <w:marBottom w:val="0"/>
      <w:divBdr>
        <w:top w:val="none" w:sz="0" w:space="0" w:color="auto"/>
        <w:left w:val="none" w:sz="0" w:space="0" w:color="auto"/>
        <w:bottom w:val="none" w:sz="0" w:space="0" w:color="auto"/>
        <w:right w:val="none" w:sz="0" w:space="0" w:color="auto"/>
      </w:divBdr>
    </w:div>
    <w:div w:id="167761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GRWRP.BWSR@state.mn.us" TargetMode="External"/><Relationship Id="rId4" Type="http://schemas.openxmlformats.org/officeDocument/2006/relationships/settings" Target="settings.xml"/><Relationship Id="rId9" Type="http://schemas.openxmlformats.org/officeDocument/2006/relationships/hyperlink" Target="mailto:LGRWRP.BWSR@state.mn.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Minnesota Brand Colors">
      <a:dk1>
        <a:srgbClr val="003865"/>
      </a:dk1>
      <a:lt1>
        <a:srgbClr val="FFFFFF"/>
      </a:lt1>
      <a:dk2>
        <a:srgbClr val="000000"/>
      </a:dk2>
      <a:lt2>
        <a:srgbClr val="DDDDDA"/>
      </a:lt2>
      <a:accent1>
        <a:srgbClr val="003865"/>
      </a:accent1>
      <a:accent2>
        <a:srgbClr val="78BE20"/>
      </a:accent2>
      <a:accent3>
        <a:srgbClr val="009BBB"/>
      </a:accent3>
      <a:accent4>
        <a:srgbClr val="8B422F"/>
      </a:accent4>
      <a:accent5>
        <a:srgbClr val="12525B"/>
      </a:accent5>
      <a:accent6>
        <a:srgbClr val="62295C"/>
      </a:accent6>
      <a:hlink>
        <a:srgbClr val="00A3E2"/>
      </a:hlink>
      <a:folHlink>
        <a:srgbClr val="007AA9"/>
      </a:folHlink>
    </a:clrScheme>
    <a:fontScheme name="MN Secondary Fonts">
      <a:majorFont>
        <a:latin typeface="Calibri"/>
        <a:ea typeface=""/>
        <a:cs typeface=""/>
      </a:majorFont>
      <a:minorFont>
        <a:latin typeface="Calibri"/>
        <a:ea typeface=""/>
        <a:cs typeface=""/>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50276-A391-41AD-8932-E8B53CB0B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1192</Words>
  <Characters>6798</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General Use Template (Blue Header)</vt:lpstr>
    </vt:vector>
  </TitlesOfParts>
  <Manager/>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Use Template (Blue Header)</dc:title>
  <dc:subject>Template</dc:subject>
  <dc:creator>Powell, Ken (BWSR)</dc:creator>
  <cp:keywords>template, general</cp:keywords>
  <cp:lastModifiedBy>Powell, Ken (BWSR)</cp:lastModifiedBy>
  <cp:revision>6</cp:revision>
  <dcterms:created xsi:type="dcterms:W3CDTF">2026-09-29T13:37:00Z</dcterms:created>
  <dcterms:modified xsi:type="dcterms:W3CDTF">2026-09-29T13:44:00Z</dcterms:modified>
  <cp:category>template</cp:category>
  <cp:contentStatus>active</cp:contentStatus>
</cp:coreProperties>
</file>