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82F72" w14:textId="0D9A47F3" w:rsidR="007A2E81" w:rsidRPr="009632BF" w:rsidRDefault="009632BF" w:rsidP="007A2E81">
      <w:pPr>
        <w:rPr>
          <w:sz w:val="48"/>
          <w:szCs w:val="48"/>
        </w:rPr>
      </w:pPr>
      <w:r w:rsidRPr="009632BF">
        <w:rPr>
          <w:sz w:val="48"/>
          <w:szCs w:val="48"/>
        </w:rPr>
        <w:t>Native Construction General 32-24</w:t>
      </w:r>
      <w:r w:rsidR="004C403A">
        <w:rPr>
          <w:sz w:val="48"/>
          <w:szCs w:val="48"/>
        </w:rPr>
        <w:t>2</w:t>
      </w:r>
    </w:p>
    <w:p w14:paraId="353C792D" w14:textId="77777777" w:rsidR="009632BF" w:rsidRDefault="009632BF" w:rsidP="007A2E81"/>
    <w:p w14:paraId="62D11655" w14:textId="2AE1D887" w:rsidR="007A2E81" w:rsidRDefault="007A2E81" w:rsidP="007A2E81">
      <w:r>
        <w:t>Updated: 2023</w:t>
      </w:r>
    </w:p>
    <w:p w14:paraId="0A52A6A1" w14:textId="7CA7D0B2" w:rsidR="007A2E81" w:rsidRDefault="007A2E81" w:rsidP="007A2E81">
      <w:r>
        <w:rPr>
          <w:rStyle w:val="normaltextrun"/>
        </w:rPr>
        <w:t>This mix has been designed for a</w:t>
      </w:r>
      <w:r>
        <w:t xml:space="preserve">reas with mesic soils and full sun for at least 70% of the day where </w:t>
      </w:r>
      <w:r w:rsidR="00166430">
        <w:t>rapid establishment of native vegetation is needed as part of the construction of berms, embankments and other practices; while also providing w</w:t>
      </w:r>
      <w:r>
        <w:t>ildlife habitat</w:t>
      </w:r>
      <w:r w:rsidR="00166430">
        <w:t>, s</w:t>
      </w:r>
      <w:r>
        <w:t xml:space="preserve">oil stabilization, </w:t>
      </w:r>
      <w:r w:rsidR="00166430">
        <w:t xml:space="preserve">and </w:t>
      </w:r>
      <w:r>
        <w:t>water quality benefits.</w:t>
      </w:r>
    </w:p>
    <w:p w14:paraId="1FCF299C" w14:textId="77777777" w:rsidR="007A2E81" w:rsidRDefault="007A2E81" w:rsidP="007A2E81">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61312" behindDoc="0" locked="0" layoutInCell="1" allowOverlap="1" wp14:anchorId="2ABED21C" wp14:editId="758F39FC">
                <wp:simplePos x="0" y="0"/>
                <wp:positionH relativeFrom="margin">
                  <wp:align>right</wp:align>
                </wp:positionH>
                <wp:positionV relativeFrom="paragraph">
                  <wp:posOffset>298450</wp:posOffset>
                </wp:positionV>
                <wp:extent cx="1310005" cy="556895"/>
                <wp:effectExtent l="0" t="0" r="444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14:paraId="2B23AFDA" w14:textId="77777777" w:rsidR="007A2E81" w:rsidRDefault="007A2E81" w:rsidP="007A2E81">
                            <w:r>
                              <w:rPr>
                                <w:noProof/>
                              </w:rPr>
                              <w:drawing>
                                <wp:inline distT="0" distB="0" distL="0" distR="0" wp14:anchorId="04816376" wp14:editId="72D16960">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ED21C" id="_x0000_t202" coordsize="21600,21600" o:spt="202" path="m,l,21600r21600,l21600,xe">
                <v:stroke joinstyle="miter"/>
                <v:path gradientshapeok="t" o:connecttype="rect"/>
              </v:shapetype>
              <v:shape id="Text Box 2" o:spid="_x0000_s1026" type="#_x0000_t202" style="position:absolute;margin-left:51.95pt;margin-top:23.5pt;width:103.15pt;height:43.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5HDQIAAPY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" stroked="f">
                <v:textbox>
                  <w:txbxContent>
                    <w:p w14:paraId="2B23AFDA" w14:textId="77777777" w:rsidR="007A2E81" w:rsidRDefault="007A2E81" w:rsidP="007A2E81">
                      <w:r>
                        <w:rPr>
                          <w:noProof/>
                        </w:rPr>
                        <w:drawing>
                          <wp:inline distT="0" distB="0" distL="0" distR="0" wp14:anchorId="04816376" wp14:editId="72D16960">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anchorx="margin"/>
              </v:shape>
            </w:pict>
          </mc:Fallback>
        </mc:AlternateContent>
      </w:r>
    </w:p>
    <w:p w14:paraId="697C0535" w14:textId="77777777" w:rsidR="007A2E81" w:rsidRDefault="007A2E81" w:rsidP="007A2E81">
      <w:pPr>
        <w:rPr>
          <w:noProof/>
        </w:rPr>
      </w:pPr>
      <w:r>
        <w:rPr>
          <w:noProof/>
        </w:rPr>
        <w:t xml:space="preserve">    </w:t>
      </w:r>
    </w:p>
    <w:p w14:paraId="55E0C3A7" w14:textId="3E2425B1" w:rsidR="007A2E81" w:rsidRDefault="007A2E81" w:rsidP="007A2E81">
      <w:pPr>
        <w:ind w:right="-540"/>
      </w:pPr>
      <w:r>
        <w:rPr>
          <w:noProof/>
        </w:rPr>
        <mc:AlternateContent>
          <mc:Choice Requires="wps">
            <w:drawing>
              <wp:anchor distT="45720" distB="45720" distL="114300" distR="114300" simplePos="0" relativeHeight="251663360" behindDoc="0" locked="0" layoutInCell="1" allowOverlap="1" wp14:anchorId="12B07322" wp14:editId="163D9920">
                <wp:simplePos x="0" y="0"/>
                <wp:positionH relativeFrom="column">
                  <wp:posOffset>2169160</wp:posOffset>
                </wp:positionH>
                <wp:positionV relativeFrom="paragraph">
                  <wp:posOffset>17780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14:paraId="66C47AF6" w14:textId="77777777" w:rsidR="007A2E81" w:rsidRDefault="007A2E81" w:rsidP="007A2E81">
                            <w:r>
                              <w:rPr>
                                <w:noProof/>
                              </w:rPr>
                              <w:drawing>
                                <wp:inline distT="0" distB="0" distL="0" distR="0" wp14:anchorId="2763C5B6" wp14:editId="39A4B082">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B07322" id="_x0000_s1027" type="#_x0000_t202" style="position:absolute;margin-left:170.8pt;margin-top:1.4pt;width:185.9pt;height: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" stroked="f">
                <v:textbox>
                  <w:txbxContent>
                    <w:p w14:paraId="66C47AF6" w14:textId="77777777" w:rsidR="007A2E81" w:rsidRDefault="007A2E81" w:rsidP="007A2E81">
                      <w:r>
                        <w:rPr>
                          <w:noProof/>
                        </w:rPr>
                        <w:drawing>
                          <wp:inline distT="0" distB="0" distL="0" distR="0" wp14:anchorId="2763C5B6" wp14:editId="39A4B082">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42815D3" wp14:editId="20DA1825">
                <wp:simplePos x="0" y="0"/>
                <wp:positionH relativeFrom="margin">
                  <wp:align>left</wp:align>
                </wp:positionH>
                <wp:positionV relativeFrom="paragraph">
                  <wp:posOffset>9525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14:paraId="7E143973" w14:textId="77777777" w:rsidR="007A2E81" w:rsidRDefault="007A2E81" w:rsidP="007A2E81">
                            <w:r>
                              <w:rPr>
                                <w:noProof/>
                              </w:rPr>
                              <w:drawing>
                                <wp:inline distT="0" distB="0" distL="0" distR="0" wp14:anchorId="62C9373E" wp14:editId="5C592D5F">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815D3" id="_x0000_s1028" type="#_x0000_t202" style="position:absolute;margin-left:0;margin-top:.75pt;width:174.8pt;height:30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" stroked="f">
                <v:textbox>
                  <w:txbxContent>
                    <w:p w14:paraId="7E143973" w14:textId="77777777" w:rsidR="007A2E81" w:rsidRDefault="007A2E81" w:rsidP="007A2E81">
                      <w:r>
                        <w:rPr>
                          <w:noProof/>
                        </w:rPr>
                        <w:drawing>
                          <wp:inline distT="0" distB="0" distL="0" distR="0" wp14:anchorId="62C9373E" wp14:editId="5C592D5F">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anchorx="margin"/>
              </v:shape>
            </w:pict>
          </mc:Fallback>
        </mc:AlternateContent>
      </w:r>
      <w:r>
        <w:t xml:space="preserve">Partners also include stakeholder collaboration among Non-profits, Seed vendors, SWCD, Tribal Governments, Consultants, County and Cities. (see stakeholder list on </w:t>
      </w:r>
      <w:hyperlink r:id="rId10" w:history="1">
        <w:r>
          <w:rPr>
            <w:rStyle w:val="Hyperlink"/>
          </w:rPr>
          <w:t>website</w:t>
        </w:r>
      </w:hyperlink>
      <w:r>
        <w:t>)</w:t>
      </w:r>
    </w:p>
    <w:p w14:paraId="0BC6CD8C" w14:textId="77777777" w:rsidR="004C403A" w:rsidRDefault="004C403A" w:rsidP="007A2E81">
      <w:pPr>
        <w:ind w:right="-540"/>
      </w:pPr>
    </w:p>
    <w:tbl>
      <w:tblPr>
        <w:tblW w:w="9380" w:type="dxa"/>
        <w:tblCellMar>
          <w:top w:w="15" w:type="dxa"/>
          <w:bottom w:w="15" w:type="dxa"/>
        </w:tblCellMar>
        <w:tblLook w:val="04A0" w:firstRow="1" w:lastRow="0" w:firstColumn="1" w:lastColumn="0" w:noHBand="0" w:noVBand="1"/>
      </w:tblPr>
      <w:tblGrid>
        <w:gridCol w:w="1960"/>
        <w:gridCol w:w="2380"/>
        <w:gridCol w:w="1280"/>
        <w:gridCol w:w="1180"/>
        <w:gridCol w:w="1220"/>
        <w:gridCol w:w="1360"/>
      </w:tblGrid>
      <w:tr w:rsidR="00630E5E" w:rsidRPr="00630E5E" w14:paraId="53EA22C2" w14:textId="77777777" w:rsidTr="00630E5E">
        <w:trPr>
          <w:trHeight w:val="450"/>
        </w:trPr>
        <w:tc>
          <w:tcPr>
            <w:tcW w:w="1960" w:type="dxa"/>
            <w:tcBorders>
              <w:top w:val="single" w:sz="8" w:space="0" w:color="000000"/>
              <w:left w:val="single" w:sz="8" w:space="0" w:color="000000"/>
              <w:bottom w:val="single" w:sz="8" w:space="0" w:color="000000"/>
              <w:right w:val="nil"/>
            </w:tcBorders>
            <w:noWrap/>
            <w:vAlign w:val="bottom"/>
            <w:hideMark/>
          </w:tcPr>
          <w:p w14:paraId="397FFE70" w14:textId="77777777" w:rsidR="00630E5E" w:rsidRPr="00630E5E" w:rsidRDefault="00630E5E" w:rsidP="00630E5E">
            <w:pPr>
              <w:rPr>
                <w:rFonts w:ascii="Arial" w:eastAsia="Times New Roman" w:hAnsi="Arial" w:cs="Arial"/>
                <w:b/>
                <w:bCs/>
                <w:color w:val="000000"/>
                <w:sz w:val="20"/>
                <w:szCs w:val="20"/>
              </w:rPr>
            </w:pPr>
            <w:r w:rsidRPr="00630E5E">
              <w:rPr>
                <w:rFonts w:ascii="Arial" w:eastAsia="Times New Roman" w:hAnsi="Arial" w:cs="Arial"/>
                <w:b/>
                <w:bCs/>
                <w:color w:val="000000"/>
                <w:sz w:val="20"/>
                <w:szCs w:val="20"/>
              </w:rPr>
              <w:t>32-242</w:t>
            </w:r>
          </w:p>
        </w:tc>
        <w:tc>
          <w:tcPr>
            <w:tcW w:w="2380" w:type="dxa"/>
            <w:tcBorders>
              <w:top w:val="single" w:sz="8" w:space="0" w:color="000000"/>
              <w:left w:val="nil"/>
              <w:bottom w:val="single" w:sz="8" w:space="0" w:color="000000"/>
              <w:right w:val="nil"/>
            </w:tcBorders>
            <w:noWrap/>
            <w:vAlign w:val="bottom"/>
            <w:hideMark/>
          </w:tcPr>
          <w:p w14:paraId="7E50E022" w14:textId="77777777" w:rsidR="00630E5E" w:rsidRPr="00630E5E" w:rsidRDefault="00630E5E" w:rsidP="00630E5E">
            <w:pPr>
              <w:rPr>
                <w:rFonts w:ascii="Arial" w:eastAsia="Times New Roman" w:hAnsi="Arial" w:cs="Arial"/>
                <w:b/>
                <w:bCs/>
                <w:color w:val="000000"/>
                <w:sz w:val="20"/>
                <w:szCs w:val="20"/>
              </w:rPr>
            </w:pPr>
            <w:r w:rsidRPr="00630E5E">
              <w:rPr>
                <w:rFonts w:ascii="Arial" w:eastAsia="Times New Roman" w:hAnsi="Arial" w:cs="Arial"/>
                <w:b/>
                <w:bCs/>
                <w:color w:val="000000"/>
                <w:sz w:val="20"/>
                <w:szCs w:val="20"/>
              </w:rPr>
              <w:t>Native Construction</w:t>
            </w:r>
          </w:p>
        </w:tc>
        <w:tc>
          <w:tcPr>
            <w:tcW w:w="1280" w:type="dxa"/>
            <w:tcBorders>
              <w:top w:val="single" w:sz="8" w:space="0" w:color="000000"/>
              <w:left w:val="nil"/>
              <w:bottom w:val="single" w:sz="8" w:space="0" w:color="000000"/>
              <w:right w:val="nil"/>
            </w:tcBorders>
            <w:noWrap/>
            <w:vAlign w:val="bottom"/>
            <w:hideMark/>
          </w:tcPr>
          <w:p w14:paraId="7FB36332" w14:textId="77777777" w:rsidR="00630E5E" w:rsidRPr="00630E5E" w:rsidRDefault="00630E5E" w:rsidP="00630E5E">
            <w:pPr>
              <w:rPr>
                <w:rFonts w:ascii="Arial" w:eastAsia="Times New Roman" w:hAnsi="Arial" w:cs="Arial"/>
                <w:b/>
                <w:bCs/>
                <w:color w:val="000000"/>
                <w:sz w:val="20"/>
                <w:szCs w:val="20"/>
              </w:rPr>
            </w:pPr>
          </w:p>
        </w:tc>
        <w:tc>
          <w:tcPr>
            <w:tcW w:w="1180" w:type="dxa"/>
            <w:tcBorders>
              <w:top w:val="single" w:sz="8" w:space="0" w:color="000000"/>
              <w:left w:val="nil"/>
              <w:bottom w:val="single" w:sz="8" w:space="0" w:color="000000"/>
              <w:right w:val="nil"/>
            </w:tcBorders>
            <w:noWrap/>
            <w:vAlign w:val="bottom"/>
            <w:hideMark/>
          </w:tcPr>
          <w:p w14:paraId="1FF17645" w14:textId="77777777" w:rsidR="00630E5E" w:rsidRPr="00630E5E" w:rsidRDefault="00630E5E" w:rsidP="00630E5E">
            <w:pPr>
              <w:rPr>
                <w:rFonts w:ascii="Times New Roman" w:eastAsia="Times New Roman" w:hAnsi="Times New Roman" w:cs="Times New Roman"/>
                <w:sz w:val="20"/>
                <w:szCs w:val="20"/>
              </w:rPr>
            </w:pPr>
          </w:p>
        </w:tc>
        <w:tc>
          <w:tcPr>
            <w:tcW w:w="1220" w:type="dxa"/>
            <w:tcBorders>
              <w:top w:val="single" w:sz="8" w:space="0" w:color="000000"/>
              <w:left w:val="nil"/>
              <w:bottom w:val="single" w:sz="8" w:space="0" w:color="000000"/>
              <w:right w:val="nil"/>
            </w:tcBorders>
            <w:noWrap/>
            <w:vAlign w:val="bottom"/>
            <w:hideMark/>
          </w:tcPr>
          <w:p w14:paraId="0D52E759" w14:textId="77777777" w:rsidR="00630E5E" w:rsidRPr="00630E5E" w:rsidRDefault="00630E5E" w:rsidP="00630E5E">
            <w:pPr>
              <w:rPr>
                <w:rFonts w:ascii="Times New Roman" w:eastAsia="Times New Roman" w:hAnsi="Times New Roman" w:cs="Times New Roman"/>
                <w:sz w:val="20"/>
                <w:szCs w:val="20"/>
              </w:rPr>
            </w:pPr>
          </w:p>
        </w:tc>
        <w:tc>
          <w:tcPr>
            <w:tcW w:w="1360" w:type="dxa"/>
            <w:tcBorders>
              <w:top w:val="single" w:sz="8" w:space="0" w:color="000000"/>
              <w:left w:val="nil"/>
              <w:bottom w:val="single" w:sz="8" w:space="0" w:color="000000"/>
              <w:right w:val="single" w:sz="8" w:space="0" w:color="000000"/>
            </w:tcBorders>
            <w:noWrap/>
            <w:vAlign w:val="bottom"/>
            <w:hideMark/>
          </w:tcPr>
          <w:p w14:paraId="4081F03D" w14:textId="77777777" w:rsidR="00630E5E" w:rsidRPr="00630E5E" w:rsidRDefault="00630E5E" w:rsidP="00630E5E">
            <w:pPr>
              <w:rPr>
                <w:rFonts w:ascii="Times New Roman" w:eastAsia="Times New Roman" w:hAnsi="Times New Roman" w:cs="Times New Roman"/>
                <w:sz w:val="20"/>
                <w:szCs w:val="20"/>
              </w:rPr>
            </w:pPr>
          </w:p>
        </w:tc>
      </w:tr>
      <w:tr w:rsidR="00630E5E" w:rsidRPr="00630E5E" w14:paraId="0528A0F2" w14:textId="77777777" w:rsidTr="00630E5E">
        <w:trPr>
          <w:trHeight w:val="765"/>
        </w:trPr>
        <w:tc>
          <w:tcPr>
            <w:tcW w:w="1960" w:type="dxa"/>
            <w:tcBorders>
              <w:top w:val="nil"/>
              <w:left w:val="single" w:sz="4" w:space="0" w:color="auto"/>
              <w:bottom w:val="nil"/>
              <w:right w:val="single" w:sz="4" w:space="0" w:color="auto"/>
            </w:tcBorders>
            <w:shd w:val="clear" w:color="000000" w:fill="99CCFF"/>
            <w:vAlign w:val="bottom"/>
            <w:hideMark/>
          </w:tcPr>
          <w:p w14:paraId="58445B12" w14:textId="77777777" w:rsidR="00630E5E" w:rsidRPr="00630E5E" w:rsidRDefault="00630E5E" w:rsidP="00630E5E">
            <w:pPr>
              <w:jc w:val="center"/>
              <w:rPr>
                <w:rFonts w:ascii="Arial" w:eastAsia="Times New Roman" w:hAnsi="Arial" w:cs="Arial"/>
                <w:b/>
                <w:bCs/>
                <w:sz w:val="20"/>
                <w:szCs w:val="20"/>
              </w:rPr>
            </w:pPr>
            <w:r w:rsidRPr="00630E5E">
              <w:rPr>
                <w:rFonts w:ascii="Arial" w:eastAsia="Times New Roman" w:hAnsi="Arial" w:cs="Arial"/>
                <w:b/>
                <w:bCs/>
                <w:sz w:val="20"/>
                <w:szCs w:val="20"/>
              </w:rPr>
              <w:t>Common Name</w:t>
            </w:r>
          </w:p>
        </w:tc>
        <w:tc>
          <w:tcPr>
            <w:tcW w:w="2380" w:type="dxa"/>
            <w:tcBorders>
              <w:top w:val="nil"/>
              <w:left w:val="single" w:sz="4" w:space="0" w:color="auto"/>
              <w:bottom w:val="nil"/>
              <w:right w:val="single" w:sz="4" w:space="0" w:color="auto"/>
            </w:tcBorders>
            <w:shd w:val="clear" w:color="000000" w:fill="99CCFF"/>
            <w:vAlign w:val="bottom"/>
            <w:hideMark/>
          </w:tcPr>
          <w:p w14:paraId="51669F46" w14:textId="77777777" w:rsidR="00630E5E" w:rsidRPr="00630E5E" w:rsidRDefault="00630E5E" w:rsidP="00630E5E">
            <w:pPr>
              <w:jc w:val="center"/>
              <w:rPr>
                <w:rFonts w:ascii="Arial" w:eastAsia="Times New Roman" w:hAnsi="Arial" w:cs="Arial"/>
                <w:b/>
                <w:bCs/>
                <w:sz w:val="20"/>
                <w:szCs w:val="20"/>
              </w:rPr>
            </w:pPr>
            <w:r w:rsidRPr="00630E5E">
              <w:rPr>
                <w:rFonts w:ascii="Arial" w:eastAsia="Times New Roman" w:hAnsi="Arial" w:cs="Arial"/>
                <w:b/>
                <w:bCs/>
                <w:sz w:val="20"/>
                <w:szCs w:val="20"/>
              </w:rPr>
              <w:t>Scientific Name</w:t>
            </w:r>
          </w:p>
        </w:tc>
        <w:tc>
          <w:tcPr>
            <w:tcW w:w="1280" w:type="dxa"/>
            <w:tcBorders>
              <w:top w:val="nil"/>
              <w:left w:val="single" w:sz="4" w:space="0" w:color="auto"/>
              <w:bottom w:val="nil"/>
              <w:right w:val="single" w:sz="4" w:space="0" w:color="auto"/>
            </w:tcBorders>
            <w:shd w:val="clear" w:color="000000" w:fill="99CCFF"/>
            <w:vAlign w:val="bottom"/>
            <w:hideMark/>
          </w:tcPr>
          <w:p w14:paraId="68F9232F" w14:textId="77777777" w:rsidR="00630E5E" w:rsidRPr="00630E5E" w:rsidRDefault="00630E5E" w:rsidP="00630E5E">
            <w:pPr>
              <w:jc w:val="center"/>
              <w:rPr>
                <w:rFonts w:ascii="Arial" w:eastAsia="Times New Roman" w:hAnsi="Arial" w:cs="Arial"/>
                <w:b/>
                <w:bCs/>
                <w:sz w:val="20"/>
                <w:szCs w:val="20"/>
              </w:rPr>
            </w:pPr>
            <w:r w:rsidRPr="00630E5E">
              <w:rPr>
                <w:rFonts w:ascii="Arial" w:eastAsia="Times New Roman" w:hAnsi="Arial" w:cs="Arial"/>
                <w:b/>
                <w:bCs/>
                <w:sz w:val="20"/>
                <w:szCs w:val="20"/>
              </w:rPr>
              <w:t>Rate (</w:t>
            </w:r>
            <w:proofErr w:type="spellStart"/>
            <w:r w:rsidRPr="00630E5E">
              <w:rPr>
                <w:rFonts w:ascii="Arial" w:eastAsia="Times New Roman" w:hAnsi="Arial" w:cs="Arial"/>
                <w:b/>
                <w:bCs/>
                <w:sz w:val="20"/>
                <w:szCs w:val="20"/>
              </w:rPr>
              <w:t>lb</w:t>
            </w:r>
            <w:proofErr w:type="spellEnd"/>
            <w:r w:rsidRPr="00630E5E">
              <w:rPr>
                <w:rFonts w:ascii="Arial" w:eastAsia="Times New Roman" w:hAnsi="Arial" w:cs="Arial"/>
                <w:b/>
                <w:bCs/>
                <w:sz w:val="20"/>
                <w:szCs w:val="20"/>
              </w:rPr>
              <w:t>/ac)</w:t>
            </w:r>
          </w:p>
        </w:tc>
        <w:tc>
          <w:tcPr>
            <w:tcW w:w="1180" w:type="dxa"/>
            <w:tcBorders>
              <w:top w:val="nil"/>
              <w:left w:val="single" w:sz="4" w:space="0" w:color="auto"/>
              <w:bottom w:val="nil"/>
              <w:right w:val="single" w:sz="4" w:space="0" w:color="auto"/>
            </w:tcBorders>
            <w:shd w:val="clear" w:color="000000" w:fill="99CCFF"/>
            <w:vAlign w:val="center"/>
            <w:hideMark/>
          </w:tcPr>
          <w:p w14:paraId="38C7AB59" w14:textId="77777777" w:rsidR="00630E5E" w:rsidRPr="00630E5E" w:rsidRDefault="00630E5E" w:rsidP="00630E5E">
            <w:pPr>
              <w:jc w:val="center"/>
              <w:rPr>
                <w:rFonts w:ascii="Arial" w:eastAsia="Times New Roman" w:hAnsi="Arial" w:cs="Arial"/>
                <w:b/>
                <w:bCs/>
                <w:color w:val="000000"/>
                <w:sz w:val="20"/>
                <w:szCs w:val="20"/>
              </w:rPr>
            </w:pPr>
            <w:r w:rsidRPr="00630E5E">
              <w:rPr>
                <w:rFonts w:ascii="Arial" w:eastAsia="Times New Roman" w:hAnsi="Arial" w:cs="Arial"/>
                <w:b/>
                <w:bCs/>
                <w:color w:val="000000"/>
                <w:sz w:val="20"/>
                <w:szCs w:val="20"/>
              </w:rPr>
              <w:t>% of Mix</w:t>
            </w:r>
            <w:r w:rsidRPr="00630E5E">
              <w:rPr>
                <w:rFonts w:ascii="Arial" w:eastAsia="Times New Roman" w:hAnsi="Arial" w:cs="Arial"/>
                <w:b/>
                <w:bCs/>
                <w:color w:val="000000"/>
                <w:sz w:val="20"/>
                <w:szCs w:val="20"/>
              </w:rPr>
              <w:br/>
              <w:t>(by weight)</w:t>
            </w:r>
          </w:p>
        </w:tc>
        <w:tc>
          <w:tcPr>
            <w:tcW w:w="1220" w:type="dxa"/>
            <w:tcBorders>
              <w:top w:val="nil"/>
              <w:left w:val="single" w:sz="4" w:space="0" w:color="auto"/>
              <w:bottom w:val="nil"/>
              <w:right w:val="single" w:sz="4" w:space="0" w:color="auto"/>
            </w:tcBorders>
            <w:shd w:val="clear" w:color="000000" w:fill="99CCFF"/>
            <w:vAlign w:val="bottom"/>
            <w:hideMark/>
          </w:tcPr>
          <w:p w14:paraId="5F055709" w14:textId="77777777" w:rsidR="00630E5E" w:rsidRPr="00630E5E" w:rsidRDefault="00630E5E" w:rsidP="00630E5E">
            <w:pPr>
              <w:jc w:val="center"/>
              <w:rPr>
                <w:rFonts w:ascii="Arial" w:eastAsia="Times New Roman" w:hAnsi="Arial" w:cs="Arial"/>
                <w:b/>
                <w:bCs/>
                <w:sz w:val="20"/>
                <w:szCs w:val="20"/>
              </w:rPr>
            </w:pPr>
            <w:r w:rsidRPr="00630E5E">
              <w:rPr>
                <w:rFonts w:ascii="Arial" w:eastAsia="Times New Roman" w:hAnsi="Arial" w:cs="Arial"/>
                <w:b/>
                <w:bCs/>
                <w:sz w:val="20"/>
                <w:szCs w:val="20"/>
              </w:rPr>
              <w:t>% by Seed</w:t>
            </w:r>
          </w:p>
        </w:tc>
        <w:tc>
          <w:tcPr>
            <w:tcW w:w="1360" w:type="dxa"/>
            <w:tcBorders>
              <w:top w:val="nil"/>
              <w:left w:val="single" w:sz="4" w:space="0" w:color="auto"/>
              <w:bottom w:val="nil"/>
              <w:right w:val="single" w:sz="4" w:space="0" w:color="auto"/>
            </w:tcBorders>
            <w:shd w:val="clear" w:color="000000" w:fill="99CCFF"/>
            <w:vAlign w:val="bottom"/>
            <w:hideMark/>
          </w:tcPr>
          <w:p w14:paraId="6AE8EF13" w14:textId="77777777" w:rsidR="00630E5E" w:rsidRPr="00630E5E" w:rsidRDefault="00630E5E" w:rsidP="00630E5E">
            <w:pPr>
              <w:jc w:val="center"/>
              <w:rPr>
                <w:rFonts w:ascii="Arial" w:eastAsia="Times New Roman" w:hAnsi="Arial" w:cs="Arial"/>
                <w:b/>
                <w:bCs/>
                <w:sz w:val="20"/>
                <w:szCs w:val="20"/>
              </w:rPr>
            </w:pPr>
            <w:r w:rsidRPr="00630E5E">
              <w:rPr>
                <w:rFonts w:ascii="Arial" w:eastAsia="Times New Roman" w:hAnsi="Arial" w:cs="Arial"/>
                <w:b/>
                <w:bCs/>
                <w:sz w:val="20"/>
                <w:szCs w:val="20"/>
              </w:rPr>
              <w:t>Seeds/ sq ft</w:t>
            </w:r>
          </w:p>
        </w:tc>
      </w:tr>
      <w:tr w:rsidR="00630E5E" w:rsidRPr="00630E5E" w14:paraId="6E766960"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vAlign w:val="bottom"/>
            <w:hideMark/>
          </w:tcPr>
          <w:p w14:paraId="02B30CE7"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slender wheatgrass</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A02BB1B" w14:textId="77777777" w:rsidR="00630E5E" w:rsidRPr="00630E5E" w:rsidRDefault="00630E5E" w:rsidP="00630E5E">
            <w:pPr>
              <w:rPr>
                <w:rFonts w:ascii="Arial" w:eastAsia="Times New Roman" w:hAnsi="Arial" w:cs="Arial"/>
                <w:i/>
                <w:iCs/>
                <w:sz w:val="20"/>
                <w:szCs w:val="20"/>
              </w:rPr>
            </w:pPr>
            <w:r w:rsidRPr="00630E5E">
              <w:rPr>
                <w:rFonts w:ascii="Arial" w:eastAsia="Times New Roman" w:hAnsi="Arial" w:cs="Arial"/>
                <w:i/>
                <w:iCs/>
                <w:sz w:val="20"/>
                <w:szCs w:val="20"/>
              </w:rPr>
              <w:t xml:space="preserve">Elymus </w:t>
            </w:r>
            <w:proofErr w:type="spellStart"/>
            <w:r w:rsidRPr="00630E5E">
              <w:rPr>
                <w:rFonts w:ascii="Arial" w:eastAsia="Times New Roman" w:hAnsi="Arial" w:cs="Arial"/>
                <w:i/>
                <w:iCs/>
                <w:sz w:val="20"/>
                <w:szCs w:val="20"/>
              </w:rPr>
              <w:t>trachycaulus</w:t>
            </w:r>
            <w:proofErr w:type="spellEnd"/>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45D0D5B3"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2.00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77A30B2A"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15.87%</w:t>
            </w:r>
          </w:p>
        </w:tc>
        <w:tc>
          <w:tcPr>
            <w:tcW w:w="1220" w:type="dxa"/>
            <w:tcBorders>
              <w:top w:val="single" w:sz="4" w:space="0" w:color="auto"/>
              <w:left w:val="single" w:sz="4" w:space="0" w:color="auto"/>
              <w:bottom w:val="single" w:sz="4" w:space="0" w:color="auto"/>
              <w:right w:val="single" w:sz="4" w:space="0" w:color="auto"/>
            </w:tcBorders>
            <w:vAlign w:val="bottom"/>
            <w:hideMark/>
          </w:tcPr>
          <w:p w14:paraId="44F053FA"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9.48%</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2D27244"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6.33</w:t>
            </w:r>
          </w:p>
        </w:tc>
      </w:tr>
      <w:tr w:rsidR="00630E5E" w:rsidRPr="00630E5E" w14:paraId="379C4D74" w14:textId="77777777" w:rsidTr="00630E5E">
        <w:trPr>
          <w:trHeight w:val="330"/>
        </w:trPr>
        <w:tc>
          <w:tcPr>
            <w:tcW w:w="1960" w:type="dxa"/>
            <w:tcBorders>
              <w:top w:val="single" w:sz="4" w:space="0" w:color="auto"/>
              <w:left w:val="single" w:sz="4" w:space="0" w:color="auto"/>
              <w:bottom w:val="single" w:sz="4" w:space="0" w:color="auto"/>
              <w:right w:val="single" w:sz="4" w:space="0" w:color="auto"/>
            </w:tcBorders>
            <w:vAlign w:val="bottom"/>
            <w:hideMark/>
          </w:tcPr>
          <w:p w14:paraId="4FB57D70"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nodding wild rye</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09A0B62" w14:textId="77777777" w:rsidR="00630E5E" w:rsidRPr="00630E5E" w:rsidRDefault="00630E5E" w:rsidP="00630E5E">
            <w:pPr>
              <w:rPr>
                <w:rFonts w:ascii="Arial" w:eastAsia="Times New Roman" w:hAnsi="Arial" w:cs="Arial"/>
                <w:i/>
                <w:iCs/>
                <w:sz w:val="20"/>
                <w:szCs w:val="20"/>
              </w:rPr>
            </w:pPr>
            <w:r w:rsidRPr="00630E5E">
              <w:rPr>
                <w:rFonts w:ascii="Arial" w:eastAsia="Times New Roman" w:hAnsi="Arial" w:cs="Arial"/>
                <w:i/>
                <w:iCs/>
                <w:sz w:val="20"/>
                <w:szCs w:val="20"/>
              </w:rPr>
              <w:t>Elymus canadensis</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30B34BFA"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2.00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69767116"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15.87%</w:t>
            </w:r>
          </w:p>
        </w:tc>
        <w:tc>
          <w:tcPr>
            <w:tcW w:w="1220" w:type="dxa"/>
            <w:tcBorders>
              <w:top w:val="single" w:sz="4" w:space="0" w:color="auto"/>
              <w:left w:val="single" w:sz="4" w:space="0" w:color="auto"/>
              <w:bottom w:val="single" w:sz="4" w:space="0" w:color="auto"/>
              <w:right w:val="single" w:sz="4" w:space="0" w:color="auto"/>
            </w:tcBorders>
            <w:vAlign w:val="bottom"/>
            <w:hideMark/>
          </w:tcPr>
          <w:p w14:paraId="7FDD5854"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5.72%</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9929649"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3.82</w:t>
            </w:r>
          </w:p>
        </w:tc>
      </w:tr>
      <w:tr w:rsidR="00630E5E" w:rsidRPr="00630E5E" w14:paraId="7610EE2C" w14:textId="77777777" w:rsidTr="00630E5E">
        <w:trPr>
          <w:trHeight w:val="330"/>
        </w:trPr>
        <w:tc>
          <w:tcPr>
            <w:tcW w:w="1960" w:type="dxa"/>
            <w:tcBorders>
              <w:top w:val="single" w:sz="4" w:space="0" w:color="auto"/>
              <w:left w:val="single" w:sz="4" w:space="0" w:color="auto"/>
              <w:bottom w:val="single" w:sz="4" w:space="0" w:color="auto"/>
              <w:right w:val="single" w:sz="4" w:space="0" w:color="auto"/>
            </w:tcBorders>
            <w:vAlign w:val="bottom"/>
            <w:hideMark/>
          </w:tcPr>
          <w:p w14:paraId="02543A4E"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Virginia wild rye</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44D69AC" w14:textId="77777777" w:rsidR="00630E5E" w:rsidRPr="00630E5E" w:rsidRDefault="00630E5E" w:rsidP="00630E5E">
            <w:pPr>
              <w:rPr>
                <w:rFonts w:ascii="Arial" w:eastAsia="Times New Roman" w:hAnsi="Arial" w:cs="Arial"/>
                <w:i/>
                <w:iCs/>
                <w:sz w:val="20"/>
                <w:szCs w:val="20"/>
              </w:rPr>
            </w:pPr>
            <w:r w:rsidRPr="00630E5E">
              <w:rPr>
                <w:rFonts w:ascii="Arial" w:eastAsia="Times New Roman" w:hAnsi="Arial" w:cs="Arial"/>
                <w:i/>
                <w:iCs/>
                <w:sz w:val="20"/>
                <w:szCs w:val="20"/>
              </w:rPr>
              <w:t xml:space="preserve">Elymus </w:t>
            </w:r>
            <w:proofErr w:type="spellStart"/>
            <w:r w:rsidRPr="00630E5E">
              <w:rPr>
                <w:rFonts w:ascii="Arial" w:eastAsia="Times New Roman" w:hAnsi="Arial" w:cs="Arial"/>
                <w:i/>
                <w:iCs/>
                <w:sz w:val="20"/>
                <w:szCs w:val="20"/>
              </w:rPr>
              <w:t>virginicus</w:t>
            </w:r>
            <w:proofErr w:type="spellEnd"/>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58DBD330"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2.00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0441B1FB"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15.87%</w:t>
            </w:r>
          </w:p>
        </w:tc>
        <w:tc>
          <w:tcPr>
            <w:tcW w:w="1220" w:type="dxa"/>
            <w:tcBorders>
              <w:top w:val="single" w:sz="4" w:space="0" w:color="auto"/>
              <w:left w:val="single" w:sz="4" w:space="0" w:color="auto"/>
              <w:bottom w:val="single" w:sz="4" w:space="0" w:color="auto"/>
              <w:right w:val="single" w:sz="4" w:space="0" w:color="auto"/>
            </w:tcBorders>
            <w:vAlign w:val="bottom"/>
            <w:hideMark/>
          </w:tcPr>
          <w:p w14:paraId="67559FFB"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4.62%</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AE74A0E"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3.09</w:t>
            </w:r>
          </w:p>
        </w:tc>
      </w:tr>
      <w:tr w:rsidR="00630E5E" w:rsidRPr="00630E5E" w14:paraId="3313DC17" w14:textId="77777777" w:rsidTr="00630E5E">
        <w:trPr>
          <w:trHeight w:val="330"/>
        </w:trPr>
        <w:tc>
          <w:tcPr>
            <w:tcW w:w="1960" w:type="dxa"/>
            <w:tcBorders>
              <w:top w:val="single" w:sz="4" w:space="0" w:color="auto"/>
              <w:left w:val="single" w:sz="4" w:space="0" w:color="auto"/>
              <w:bottom w:val="single" w:sz="4" w:space="0" w:color="auto"/>
              <w:right w:val="single" w:sz="4" w:space="0" w:color="auto"/>
            </w:tcBorders>
            <w:vAlign w:val="bottom"/>
            <w:hideMark/>
          </w:tcPr>
          <w:p w14:paraId="028E0E31"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fringed brome</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EC31930" w14:textId="77777777" w:rsidR="00630E5E" w:rsidRPr="00630E5E" w:rsidRDefault="00630E5E" w:rsidP="00630E5E">
            <w:pPr>
              <w:rPr>
                <w:rFonts w:ascii="Arial" w:eastAsia="Times New Roman" w:hAnsi="Arial" w:cs="Arial"/>
                <w:i/>
                <w:iCs/>
                <w:sz w:val="20"/>
                <w:szCs w:val="20"/>
              </w:rPr>
            </w:pPr>
            <w:r w:rsidRPr="00630E5E">
              <w:rPr>
                <w:rFonts w:ascii="Arial" w:eastAsia="Times New Roman" w:hAnsi="Arial" w:cs="Arial"/>
                <w:i/>
                <w:iCs/>
                <w:sz w:val="20"/>
                <w:szCs w:val="20"/>
              </w:rPr>
              <w:t xml:space="preserve">Bromus </w:t>
            </w:r>
            <w:proofErr w:type="spellStart"/>
            <w:r w:rsidRPr="00630E5E">
              <w:rPr>
                <w:rFonts w:ascii="Arial" w:eastAsia="Times New Roman" w:hAnsi="Arial" w:cs="Arial"/>
                <w:i/>
                <w:iCs/>
                <w:sz w:val="20"/>
                <w:szCs w:val="20"/>
              </w:rPr>
              <w:t>ciliatus</w:t>
            </w:r>
            <w:proofErr w:type="spellEnd"/>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3DAA006F"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0.90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3DDF836F"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7.14%</w:t>
            </w:r>
          </w:p>
        </w:tc>
        <w:tc>
          <w:tcPr>
            <w:tcW w:w="1220" w:type="dxa"/>
            <w:tcBorders>
              <w:top w:val="single" w:sz="4" w:space="0" w:color="auto"/>
              <w:left w:val="single" w:sz="4" w:space="0" w:color="auto"/>
              <w:bottom w:val="single" w:sz="4" w:space="0" w:color="auto"/>
              <w:right w:val="single" w:sz="4" w:space="0" w:color="auto"/>
            </w:tcBorders>
            <w:vAlign w:val="bottom"/>
            <w:hideMark/>
          </w:tcPr>
          <w:p w14:paraId="42C1FC63"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8.49%</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6FC2B3F"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5.67</w:t>
            </w:r>
          </w:p>
        </w:tc>
      </w:tr>
      <w:tr w:rsidR="00630E5E" w:rsidRPr="00630E5E" w14:paraId="798DCFA8"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vAlign w:val="bottom"/>
            <w:hideMark/>
          </w:tcPr>
          <w:p w14:paraId="1BEF2DC8"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big bluestem</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1BC19D0" w14:textId="77777777" w:rsidR="00630E5E" w:rsidRPr="00630E5E" w:rsidRDefault="00630E5E" w:rsidP="00630E5E">
            <w:pPr>
              <w:rPr>
                <w:rFonts w:ascii="Arial" w:eastAsia="Times New Roman" w:hAnsi="Arial" w:cs="Arial"/>
                <w:i/>
                <w:iCs/>
                <w:sz w:val="20"/>
                <w:szCs w:val="20"/>
              </w:rPr>
            </w:pPr>
            <w:r w:rsidRPr="00630E5E">
              <w:rPr>
                <w:rFonts w:ascii="Arial" w:eastAsia="Times New Roman" w:hAnsi="Arial" w:cs="Arial"/>
                <w:i/>
                <w:iCs/>
                <w:sz w:val="20"/>
                <w:szCs w:val="20"/>
              </w:rPr>
              <w:t>Andropogon gerardii</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68371754"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1.60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2486D865"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12.70%</w:t>
            </w:r>
          </w:p>
        </w:tc>
        <w:tc>
          <w:tcPr>
            <w:tcW w:w="1220" w:type="dxa"/>
            <w:tcBorders>
              <w:top w:val="single" w:sz="4" w:space="0" w:color="auto"/>
              <w:left w:val="single" w:sz="4" w:space="0" w:color="auto"/>
              <w:bottom w:val="single" w:sz="4" w:space="0" w:color="auto"/>
              <w:right w:val="single" w:sz="4" w:space="0" w:color="auto"/>
            </w:tcBorders>
            <w:vAlign w:val="bottom"/>
            <w:hideMark/>
          </w:tcPr>
          <w:p w14:paraId="64285D3A"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6.89%</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B8D5F4C"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4.60</w:t>
            </w:r>
          </w:p>
        </w:tc>
      </w:tr>
      <w:tr w:rsidR="00630E5E" w:rsidRPr="00630E5E" w14:paraId="67B8C055"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vAlign w:val="bottom"/>
            <w:hideMark/>
          </w:tcPr>
          <w:p w14:paraId="50645358"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side-oats grama</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3DE45CA" w14:textId="77777777" w:rsidR="00630E5E" w:rsidRPr="00630E5E" w:rsidRDefault="00630E5E" w:rsidP="00630E5E">
            <w:pPr>
              <w:rPr>
                <w:rFonts w:ascii="Arial" w:eastAsia="Times New Roman" w:hAnsi="Arial" w:cs="Arial"/>
                <w:i/>
                <w:iCs/>
                <w:sz w:val="20"/>
                <w:szCs w:val="20"/>
              </w:rPr>
            </w:pPr>
            <w:proofErr w:type="spellStart"/>
            <w:r w:rsidRPr="00630E5E">
              <w:rPr>
                <w:rFonts w:ascii="Arial" w:eastAsia="Times New Roman" w:hAnsi="Arial" w:cs="Arial"/>
                <w:i/>
                <w:iCs/>
                <w:sz w:val="20"/>
                <w:szCs w:val="20"/>
              </w:rPr>
              <w:t>Bouteloua</w:t>
            </w:r>
            <w:proofErr w:type="spellEnd"/>
            <w:r w:rsidRPr="00630E5E">
              <w:rPr>
                <w:rFonts w:ascii="Arial" w:eastAsia="Times New Roman" w:hAnsi="Arial" w:cs="Arial"/>
                <w:i/>
                <w:iCs/>
                <w:sz w:val="20"/>
                <w:szCs w:val="20"/>
              </w:rPr>
              <w:t xml:space="preserve"> </w:t>
            </w:r>
            <w:proofErr w:type="spellStart"/>
            <w:r w:rsidRPr="00630E5E">
              <w:rPr>
                <w:rFonts w:ascii="Arial" w:eastAsia="Times New Roman" w:hAnsi="Arial" w:cs="Arial"/>
                <w:i/>
                <w:iCs/>
                <w:sz w:val="20"/>
                <w:szCs w:val="20"/>
              </w:rPr>
              <w:t>curtipendula</w:t>
            </w:r>
            <w:proofErr w:type="spellEnd"/>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712822A8"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1.00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2BC683CA"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7.94%</w:t>
            </w:r>
          </w:p>
        </w:tc>
        <w:tc>
          <w:tcPr>
            <w:tcW w:w="1220" w:type="dxa"/>
            <w:tcBorders>
              <w:top w:val="single" w:sz="4" w:space="0" w:color="auto"/>
              <w:left w:val="single" w:sz="4" w:space="0" w:color="auto"/>
              <w:bottom w:val="single" w:sz="4" w:space="0" w:color="auto"/>
              <w:right w:val="single" w:sz="4" w:space="0" w:color="auto"/>
            </w:tcBorders>
            <w:vAlign w:val="bottom"/>
            <w:hideMark/>
          </w:tcPr>
          <w:p w14:paraId="79BAA07D"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3.31%</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7ABDFE3"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2.21</w:t>
            </w:r>
          </w:p>
        </w:tc>
      </w:tr>
      <w:tr w:rsidR="00630E5E" w:rsidRPr="00630E5E" w14:paraId="79F9CE66"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vAlign w:val="bottom"/>
            <w:hideMark/>
          </w:tcPr>
          <w:p w14:paraId="35B777EA"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Indian grass</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A800939" w14:textId="77777777" w:rsidR="00630E5E" w:rsidRPr="00630E5E" w:rsidRDefault="00630E5E" w:rsidP="00630E5E">
            <w:pPr>
              <w:rPr>
                <w:rFonts w:ascii="Arial" w:eastAsia="Times New Roman" w:hAnsi="Arial" w:cs="Arial"/>
                <w:i/>
                <w:iCs/>
                <w:sz w:val="20"/>
                <w:szCs w:val="20"/>
              </w:rPr>
            </w:pPr>
            <w:proofErr w:type="spellStart"/>
            <w:r w:rsidRPr="00630E5E">
              <w:rPr>
                <w:rFonts w:ascii="Arial" w:eastAsia="Times New Roman" w:hAnsi="Arial" w:cs="Arial"/>
                <w:i/>
                <w:iCs/>
                <w:sz w:val="20"/>
                <w:szCs w:val="20"/>
              </w:rPr>
              <w:t>Sorghastrum</w:t>
            </w:r>
            <w:proofErr w:type="spellEnd"/>
            <w:r w:rsidRPr="00630E5E">
              <w:rPr>
                <w:rFonts w:ascii="Arial" w:eastAsia="Times New Roman" w:hAnsi="Arial" w:cs="Arial"/>
                <w:i/>
                <w:iCs/>
                <w:sz w:val="20"/>
                <w:szCs w:val="20"/>
              </w:rPr>
              <w:t xml:space="preserve"> nutans</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7CEEB8E7"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1.00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6D387704"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7.94%</w:t>
            </w:r>
          </w:p>
        </w:tc>
        <w:tc>
          <w:tcPr>
            <w:tcW w:w="1220" w:type="dxa"/>
            <w:tcBorders>
              <w:top w:val="single" w:sz="4" w:space="0" w:color="auto"/>
              <w:left w:val="single" w:sz="4" w:space="0" w:color="auto"/>
              <w:bottom w:val="single" w:sz="4" w:space="0" w:color="auto"/>
              <w:right w:val="single" w:sz="4" w:space="0" w:color="auto"/>
            </w:tcBorders>
            <w:vAlign w:val="bottom"/>
            <w:hideMark/>
          </w:tcPr>
          <w:p w14:paraId="2A3AD375"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6.59%</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DCF04D9"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4.40</w:t>
            </w:r>
          </w:p>
        </w:tc>
      </w:tr>
      <w:tr w:rsidR="00630E5E" w:rsidRPr="00630E5E" w14:paraId="6DFE031E"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vAlign w:val="bottom"/>
            <w:hideMark/>
          </w:tcPr>
          <w:p w14:paraId="7F700986"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switchgrass</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82A5E3B" w14:textId="77777777" w:rsidR="00630E5E" w:rsidRPr="00630E5E" w:rsidRDefault="00630E5E" w:rsidP="00630E5E">
            <w:pPr>
              <w:rPr>
                <w:rFonts w:ascii="Arial" w:eastAsia="Times New Roman" w:hAnsi="Arial" w:cs="Arial"/>
                <w:i/>
                <w:iCs/>
                <w:sz w:val="20"/>
                <w:szCs w:val="20"/>
              </w:rPr>
            </w:pPr>
            <w:r w:rsidRPr="00630E5E">
              <w:rPr>
                <w:rFonts w:ascii="Arial" w:eastAsia="Times New Roman" w:hAnsi="Arial" w:cs="Arial"/>
                <w:i/>
                <w:iCs/>
                <w:sz w:val="20"/>
                <w:szCs w:val="20"/>
              </w:rPr>
              <w:t>Panicum virgatum</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5C6DBD59"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1.00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7905D6D8"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7.94%</w:t>
            </w:r>
          </w:p>
        </w:tc>
        <w:tc>
          <w:tcPr>
            <w:tcW w:w="1220" w:type="dxa"/>
            <w:tcBorders>
              <w:top w:val="single" w:sz="4" w:space="0" w:color="auto"/>
              <w:left w:val="single" w:sz="4" w:space="0" w:color="auto"/>
              <w:bottom w:val="single" w:sz="4" w:space="0" w:color="auto"/>
              <w:right w:val="single" w:sz="4" w:space="0" w:color="auto"/>
            </w:tcBorders>
            <w:vAlign w:val="bottom"/>
            <w:hideMark/>
          </w:tcPr>
          <w:p w14:paraId="701022AA"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5.77%</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60EB9E3"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3.85</w:t>
            </w:r>
          </w:p>
        </w:tc>
      </w:tr>
      <w:tr w:rsidR="00630E5E" w:rsidRPr="00630E5E" w14:paraId="284F733B"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vAlign w:val="bottom"/>
            <w:hideMark/>
          </w:tcPr>
          <w:p w14:paraId="44CA84F1"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fowl bluegrass</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85AF2E2" w14:textId="77777777" w:rsidR="00630E5E" w:rsidRPr="00630E5E" w:rsidRDefault="00630E5E" w:rsidP="00630E5E">
            <w:pPr>
              <w:rPr>
                <w:rFonts w:ascii="Arial" w:eastAsia="Times New Roman" w:hAnsi="Arial" w:cs="Arial"/>
                <w:i/>
                <w:iCs/>
                <w:sz w:val="20"/>
                <w:szCs w:val="20"/>
              </w:rPr>
            </w:pPr>
            <w:r w:rsidRPr="00630E5E">
              <w:rPr>
                <w:rFonts w:ascii="Arial" w:eastAsia="Times New Roman" w:hAnsi="Arial" w:cs="Arial"/>
                <w:i/>
                <w:iCs/>
                <w:sz w:val="20"/>
                <w:szCs w:val="20"/>
              </w:rPr>
              <w:t>Poa palustris</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4424A011"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0.60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4C1D8F75"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4.76%</w:t>
            </w:r>
          </w:p>
        </w:tc>
        <w:tc>
          <w:tcPr>
            <w:tcW w:w="1220" w:type="dxa"/>
            <w:tcBorders>
              <w:top w:val="single" w:sz="4" w:space="0" w:color="auto"/>
              <w:left w:val="single" w:sz="4" w:space="0" w:color="auto"/>
              <w:bottom w:val="single" w:sz="4" w:space="0" w:color="auto"/>
              <w:right w:val="single" w:sz="4" w:space="0" w:color="auto"/>
            </w:tcBorders>
            <w:vAlign w:val="bottom"/>
            <w:hideMark/>
          </w:tcPr>
          <w:p w14:paraId="251548D5"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42.68%</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C97D83D"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28.50</w:t>
            </w:r>
          </w:p>
        </w:tc>
      </w:tr>
      <w:tr w:rsidR="00630E5E" w:rsidRPr="00630E5E" w14:paraId="3127B109"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0B045476" w14:textId="77777777" w:rsidR="00630E5E" w:rsidRPr="00630E5E" w:rsidRDefault="00630E5E" w:rsidP="00630E5E">
            <w:pPr>
              <w:jc w:val="right"/>
              <w:rPr>
                <w:rFonts w:ascii="Arial" w:eastAsia="Times New Roman" w:hAnsi="Arial" w:cs="Arial"/>
                <w:sz w:val="20"/>
                <w:szCs w:val="20"/>
              </w:rPr>
            </w:pPr>
          </w:p>
        </w:tc>
        <w:tc>
          <w:tcPr>
            <w:tcW w:w="2380"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4028E4EB"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Grasses Subtotal</w:t>
            </w:r>
          </w:p>
        </w:tc>
        <w:tc>
          <w:tcPr>
            <w:tcW w:w="12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7BE2F218"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 xml:space="preserve">12.10 </w:t>
            </w:r>
          </w:p>
        </w:tc>
        <w:tc>
          <w:tcPr>
            <w:tcW w:w="11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C6E840B"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96.03%</w:t>
            </w:r>
          </w:p>
        </w:tc>
        <w:tc>
          <w:tcPr>
            <w:tcW w:w="12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6CC879E"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93.55%</w:t>
            </w:r>
          </w:p>
        </w:tc>
        <w:tc>
          <w:tcPr>
            <w:tcW w:w="13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2F7B8846"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62.47</w:t>
            </w:r>
          </w:p>
        </w:tc>
      </w:tr>
      <w:tr w:rsidR="00630E5E" w:rsidRPr="00630E5E" w14:paraId="26AF7215" w14:textId="77777777" w:rsidTr="00630E5E">
        <w:trPr>
          <w:trHeight w:val="510"/>
        </w:trPr>
        <w:tc>
          <w:tcPr>
            <w:tcW w:w="1960" w:type="dxa"/>
            <w:tcBorders>
              <w:top w:val="single" w:sz="4" w:space="0" w:color="auto"/>
              <w:left w:val="single" w:sz="4" w:space="0" w:color="auto"/>
              <w:bottom w:val="single" w:sz="4" w:space="0" w:color="auto"/>
              <w:right w:val="single" w:sz="4" w:space="0" w:color="auto"/>
            </w:tcBorders>
            <w:vAlign w:val="bottom"/>
            <w:hideMark/>
          </w:tcPr>
          <w:p w14:paraId="5ABF644F"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partridge pea</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B7813D2" w14:textId="77777777" w:rsidR="00630E5E" w:rsidRPr="00630E5E" w:rsidRDefault="00630E5E" w:rsidP="00630E5E">
            <w:pPr>
              <w:rPr>
                <w:rFonts w:ascii="Arial" w:eastAsia="Times New Roman" w:hAnsi="Arial" w:cs="Arial"/>
                <w:i/>
                <w:iCs/>
                <w:sz w:val="20"/>
                <w:szCs w:val="20"/>
              </w:rPr>
            </w:pPr>
            <w:proofErr w:type="spellStart"/>
            <w:r w:rsidRPr="00630E5E">
              <w:rPr>
                <w:rFonts w:ascii="Arial" w:eastAsia="Times New Roman" w:hAnsi="Arial" w:cs="Arial"/>
                <w:i/>
                <w:iCs/>
                <w:sz w:val="20"/>
                <w:szCs w:val="20"/>
              </w:rPr>
              <w:t>Chamaecrista</w:t>
            </w:r>
            <w:proofErr w:type="spellEnd"/>
            <w:r w:rsidRPr="00630E5E">
              <w:rPr>
                <w:rFonts w:ascii="Arial" w:eastAsia="Times New Roman" w:hAnsi="Arial" w:cs="Arial"/>
                <w:i/>
                <w:iCs/>
                <w:sz w:val="20"/>
                <w:szCs w:val="20"/>
              </w:rPr>
              <w:t xml:space="preserve"> fasciculata</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489D596C"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0.27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577C6112"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2.14%</w:t>
            </w:r>
          </w:p>
        </w:tc>
        <w:tc>
          <w:tcPr>
            <w:tcW w:w="1220" w:type="dxa"/>
            <w:tcBorders>
              <w:top w:val="single" w:sz="4" w:space="0" w:color="auto"/>
              <w:left w:val="single" w:sz="4" w:space="0" w:color="auto"/>
              <w:bottom w:val="single" w:sz="4" w:space="0" w:color="auto"/>
              <w:right w:val="single" w:sz="4" w:space="0" w:color="auto"/>
            </w:tcBorders>
            <w:vAlign w:val="bottom"/>
            <w:hideMark/>
          </w:tcPr>
          <w:p w14:paraId="59A4CB66"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0.40%</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21BFC6C"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0.27</w:t>
            </w:r>
          </w:p>
        </w:tc>
      </w:tr>
      <w:tr w:rsidR="00630E5E" w:rsidRPr="00630E5E" w14:paraId="5FB24A2C"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vAlign w:val="bottom"/>
            <w:hideMark/>
          </w:tcPr>
          <w:p w14:paraId="33B867F8"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 xml:space="preserve">black-eyed </w:t>
            </w:r>
            <w:proofErr w:type="spellStart"/>
            <w:r w:rsidRPr="00630E5E">
              <w:rPr>
                <w:rFonts w:ascii="Arial" w:eastAsia="Times New Roman" w:hAnsi="Arial" w:cs="Arial"/>
                <w:sz w:val="20"/>
                <w:szCs w:val="20"/>
              </w:rPr>
              <w:t>susan</w:t>
            </w:r>
            <w:proofErr w:type="spellEnd"/>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47974DA" w14:textId="77777777" w:rsidR="00630E5E" w:rsidRPr="00630E5E" w:rsidRDefault="00630E5E" w:rsidP="00630E5E">
            <w:pPr>
              <w:rPr>
                <w:rFonts w:ascii="Arial" w:eastAsia="Times New Roman" w:hAnsi="Arial" w:cs="Arial"/>
                <w:i/>
                <w:iCs/>
                <w:sz w:val="20"/>
                <w:szCs w:val="20"/>
              </w:rPr>
            </w:pPr>
            <w:r w:rsidRPr="00630E5E">
              <w:rPr>
                <w:rFonts w:ascii="Arial" w:eastAsia="Times New Roman" w:hAnsi="Arial" w:cs="Arial"/>
                <w:i/>
                <w:iCs/>
                <w:sz w:val="20"/>
                <w:szCs w:val="20"/>
              </w:rPr>
              <w:t xml:space="preserve">Rudbeckia </w:t>
            </w:r>
            <w:proofErr w:type="spellStart"/>
            <w:r w:rsidRPr="00630E5E">
              <w:rPr>
                <w:rFonts w:ascii="Arial" w:eastAsia="Times New Roman" w:hAnsi="Arial" w:cs="Arial"/>
                <w:i/>
                <w:iCs/>
                <w:sz w:val="20"/>
                <w:szCs w:val="20"/>
              </w:rPr>
              <w:t>hirta</w:t>
            </w:r>
            <w:proofErr w:type="spellEnd"/>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0284AE49"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0.09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371EC6E4"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0.71%</w:t>
            </w:r>
          </w:p>
        </w:tc>
        <w:tc>
          <w:tcPr>
            <w:tcW w:w="1220" w:type="dxa"/>
            <w:tcBorders>
              <w:top w:val="single" w:sz="4" w:space="0" w:color="auto"/>
              <w:left w:val="single" w:sz="4" w:space="0" w:color="auto"/>
              <w:bottom w:val="single" w:sz="4" w:space="0" w:color="auto"/>
              <w:right w:val="single" w:sz="4" w:space="0" w:color="auto"/>
            </w:tcBorders>
            <w:vAlign w:val="bottom"/>
            <w:hideMark/>
          </w:tcPr>
          <w:p w14:paraId="32C0DE4A"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4.49%</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C1C95F9"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3.00</w:t>
            </w:r>
          </w:p>
        </w:tc>
      </w:tr>
      <w:tr w:rsidR="00630E5E" w:rsidRPr="00630E5E" w14:paraId="24E1ACCC"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vAlign w:val="bottom"/>
            <w:hideMark/>
          </w:tcPr>
          <w:p w14:paraId="55D45638"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Canada tick trefoil</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DFC932F" w14:textId="77777777" w:rsidR="00630E5E" w:rsidRPr="00630E5E" w:rsidRDefault="00630E5E" w:rsidP="00630E5E">
            <w:pPr>
              <w:rPr>
                <w:rFonts w:ascii="Arial" w:eastAsia="Times New Roman" w:hAnsi="Arial" w:cs="Arial"/>
                <w:i/>
                <w:iCs/>
                <w:sz w:val="20"/>
                <w:szCs w:val="20"/>
              </w:rPr>
            </w:pPr>
            <w:proofErr w:type="spellStart"/>
            <w:r w:rsidRPr="00630E5E">
              <w:rPr>
                <w:rFonts w:ascii="Arial" w:eastAsia="Times New Roman" w:hAnsi="Arial" w:cs="Arial"/>
                <w:i/>
                <w:iCs/>
                <w:sz w:val="20"/>
                <w:szCs w:val="20"/>
              </w:rPr>
              <w:t>Desmodium</w:t>
            </w:r>
            <w:proofErr w:type="spellEnd"/>
            <w:r w:rsidRPr="00630E5E">
              <w:rPr>
                <w:rFonts w:ascii="Arial" w:eastAsia="Times New Roman" w:hAnsi="Arial" w:cs="Arial"/>
                <w:i/>
                <w:iCs/>
                <w:sz w:val="20"/>
                <w:szCs w:val="20"/>
              </w:rPr>
              <w:t xml:space="preserve"> canadense</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6DA7610A"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0.07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4942BD36"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0.56%</w:t>
            </w:r>
          </w:p>
        </w:tc>
        <w:tc>
          <w:tcPr>
            <w:tcW w:w="1220" w:type="dxa"/>
            <w:tcBorders>
              <w:top w:val="single" w:sz="4" w:space="0" w:color="auto"/>
              <w:left w:val="single" w:sz="4" w:space="0" w:color="auto"/>
              <w:bottom w:val="single" w:sz="4" w:space="0" w:color="auto"/>
              <w:right w:val="single" w:sz="4" w:space="0" w:color="auto"/>
            </w:tcBorders>
            <w:vAlign w:val="bottom"/>
            <w:hideMark/>
          </w:tcPr>
          <w:p w14:paraId="20618EC5"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0.22%</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9AEE059"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0.15</w:t>
            </w:r>
          </w:p>
        </w:tc>
      </w:tr>
      <w:tr w:rsidR="00630E5E" w:rsidRPr="00630E5E" w14:paraId="17EE8CAB"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vAlign w:val="bottom"/>
            <w:hideMark/>
          </w:tcPr>
          <w:p w14:paraId="00AEC842"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hoary vervain</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C453DA7" w14:textId="77777777" w:rsidR="00630E5E" w:rsidRPr="00630E5E" w:rsidRDefault="00630E5E" w:rsidP="00630E5E">
            <w:pPr>
              <w:rPr>
                <w:rFonts w:ascii="Arial" w:eastAsia="Times New Roman" w:hAnsi="Arial" w:cs="Arial"/>
                <w:i/>
                <w:iCs/>
                <w:sz w:val="20"/>
                <w:szCs w:val="20"/>
              </w:rPr>
            </w:pPr>
            <w:r w:rsidRPr="00630E5E">
              <w:rPr>
                <w:rFonts w:ascii="Arial" w:eastAsia="Times New Roman" w:hAnsi="Arial" w:cs="Arial"/>
                <w:i/>
                <w:iCs/>
                <w:sz w:val="20"/>
                <w:szCs w:val="20"/>
              </w:rPr>
              <w:t>Verbena stricta</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175B19EC"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0.05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1CFE210B"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0.40%</w:t>
            </w:r>
          </w:p>
        </w:tc>
        <w:tc>
          <w:tcPr>
            <w:tcW w:w="1220" w:type="dxa"/>
            <w:tcBorders>
              <w:top w:val="single" w:sz="4" w:space="0" w:color="auto"/>
              <w:left w:val="single" w:sz="4" w:space="0" w:color="auto"/>
              <w:bottom w:val="single" w:sz="4" w:space="0" w:color="auto"/>
              <w:right w:val="single" w:sz="4" w:space="0" w:color="auto"/>
            </w:tcBorders>
            <w:vAlign w:val="bottom"/>
            <w:hideMark/>
          </w:tcPr>
          <w:p w14:paraId="5C466036"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0.75%</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2E5E0D2"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0.50</w:t>
            </w:r>
          </w:p>
        </w:tc>
      </w:tr>
      <w:tr w:rsidR="00630E5E" w:rsidRPr="00630E5E" w14:paraId="385F3B90" w14:textId="77777777" w:rsidTr="00630E5E">
        <w:trPr>
          <w:trHeight w:val="360"/>
        </w:trPr>
        <w:tc>
          <w:tcPr>
            <w:tcW w:w="1960" w:type="dxa"/>
            <w:tcBorders>
              <w:top w:val="single" w:sz="4" w:space="0" w:color="auto"/>
              <w:left w:val="single" w:sz="4" w:space="0" w:color="auto"/>
              <w:bottom w:val="single" w:sz="4" w:space="0" w:color="auto"/>
              <w:right w:val="single" w:sz="4" w:space="0" w:color="auto"/>
            </w:tcBorders>
            <w:vAlign w:val="bottom"/>
            <w:hideMark/>
          </w:tcPr>
          <w:p w14:paraId="35972E53"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wild bergamot</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3D8F475" w14:textId="77777777" w:rsidR="00630E5E" w:rsidRPr="00630E5E" w:rsidRDefault="00630E5E" w:rsidP="00630E5E">
            <w:pPr>
              <w:rPr>
                <w:rFonts w:ascii="Arial" w:eastAsia="Times New Roman" w:hAnsi="Arial" w:cs="Arial"/>
                <w:i/>
                <w:iCs/>
                <w:sz w:val="20"/>
                <w:szCs w:val="20"/>
              </w:rPr>
            </w:pPr>
            <w:r w:rsidRPr="00630E5E">
              <w:rPr>
                <w:rFonts w:ascii="Arial" w:eastAsia="Times New Roman" w:hAnsi="Arial" w:cs="Arial"/>
                <w:i/>
                <w:iCs/>
                <w:sz w:val="20"/>
                <w:szCs w:val="20"/>
              </w:rPr>
              <w:t>Monarda fistulosa</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3526D8DD"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0.02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2E5A5E25"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0.16%</w:t>
            </w:r>
          </w:p>
        </w:tc>
        <w:tc>
          <w:tcPr>
            <w:tcW w:w="1220" w:type="dxa"/>
            <w:tcBorders>
              <w:top w:val="single" w:sz="4" w:space="0" w:color="auto"/>
              <w:left w:val="single" w:sz="4" w:space="0" w:color="auto"/>
              <w:bottom w:val="single" w:sz="4" w:space="0" w:color="auto"/>
              <w:right w:val="single" w:sz="4" w:space="0" w:color="auto"/>
            </w:tcBorders>
            <w:vAlign w:val="bottom"/>
            <w:hideMark/>
          </w:tcPr>
          <w:p w14:paraId="5BDA6C55"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0.58%</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57AF03D"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0.39</w:t>
            </w:r>
          </w:p>
        </w:tc>
      </w:tr>
      <w:tr w:rsidR="00630E5E" w:rsidRPr="00630E5E" w14:paraId="6B06367C"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387CD044" w14:textId="77777777" w:rsidR="00630E5E" w:rsidRPr="00630E5E" w:rsidRDefault="00630E5E" w:rsidP="00630E5E">
            <w:pPr>
              <w:jc w:val="right"/>
              <w:rPr>
                <w:rFonts w:ascii="Arial" w:eastAsia="Times New Roman" w:hAnsi="Arial" w:cs="Arial"/>
                <w:sz w:val="20"/>
                <w:szCs w:val="20"/>
              </w:rPr>
            </w:pPr>
          </w:p>
        </w:tc>
        <w:tc>
          <w:tcPr>
            <w:tcW w:w="2380"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274E8916"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Forbs Subtotal</w:t>
            </w:r>
          </w:p>
        </w:tc>
        <w:tc>
          <w:tcPr>
            <w:tcW w:w="12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0AEDD64E"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 xml:space="preserve">0.50 </w:t>
            </w:r>
          </w:p>
        </w:tc>
        <w:tc>
          <w:tcPr>
            <w:tcW w:w="11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6143227C"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3.97%</w:t>
            </w:r>
          </w:p>
        </w:tc>
        <w:tc>
          <w:tcPr>
            <w:tcW w:w="12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678ED911"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6.45%</w:t>
            </w:r>
          </w:p>
        </w:tc>
        <w:tc>
          <w:tcPr>
            <w:tcW w:w="13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6E2A6233"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4.31</w:t>
            </w:r>
          </w:p>
        </w:tc>
      </w:tr>
      <w:tr w:rsidR="00630E5E" w:rsidRPr="00630E5E" w14:paraId="620DBD43" w14:textId="77777777" w:rsidTr="00630E5E">
        <w:trPr>
          <w:trHeight w:val="255"/>
        </w:trPr>
        <w:tc>
          <w:tcPr>
            <w:tcW w:w="1960" w:type="dxa"/>
            <w:tcBorders>
              <w:top w:val="nil"/>
              <w:left w:val="single" w:sz="4" w:space="0" w:color="auto"/>
              <w:bottom w:val="single" w:sz="4" w:space="0" w:color="auto"/>
              <w:right w:val="single" w:sz="4" w:space="0" w:color="auto"/>
            </w:tcBorders>
            <w:shd w:val="clear" w:color="000000" w:fill="99CCFF"/>
            <w:noWrap/>
            <w:vAlign w:val="bottom"/>
            <w:hideMark/>
          </w:tcPr>
          <w:p w14:paraId="68652BE7" w14:textId="77777777" w:rsidR="00630E5E" w:rsidRPr="00630E5E" w:rsidRDefault="00630E5E" w:rsidP="00630E5E">
            <w:pPr>
              <w:jc w:val="right"/>
              <w:rPr>
                <w:rFonts w:ascii="Arial" w:eastAsia="Times New Roman" w:hAnsi="Arial" w:cs="Arial"/>
                <w:b/>
                <w:bCs/>
                <w:sz w:val="20"/>
                <w:szCs w:val="20"/>
              </w:rPr>
            </w:pPr>
          </w:p>
        </w:tc>
        <w:tc>
          <w:tcPr>
            <w:tcW w:w="2380" w:type="dxa"/>
            <w:tcBorders>
              <w:top w:val="nil"/>
              <w:left w:val="single" w:sz="4" w:space="0" w:color="auto"/>
              <w:bottom w:val="single" w:sz="4" w:space="0" w:color="auto"/>
              <w:right w:val="single" w:sz="4" w:space="0" w:color="auto"/>
            </w:tcBorders>
            <w:shd w:val="clear" w:color="000000" w:fill="99CCFF"/>
            <w:vAlign w:val="bottom"/>
            <w:hideMark/>
          </w:tcPr>
          <w:p w14:paraId="0C523CAD"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Total</w:t>
            </w:r>
          </w:p>
        </w:tc>
        <w:tc>
          <w:tcPr>
            <w:tcW w:w="1280" w:type="dxa"/>
            <w:tcBorders>
              <w:top w:val="nil"/>
              <w:left w:val="single" w:sz="4" w:space="0" w:color="auto"/>
              <w:bottom w:val="single" w:sz="4" w:space="0" w:color="auto"/>
              <w:right w:val="single" w:sz="4" w:space="0" w:color="auto"/>
            </w:tcBorders>
            <w:shd w:val="clear" w:color="000000" w:fill="99CCFF"/>
            <w:noWrap/>
            <w:vAlign w:val="bottom"/>
            <w:hideMark/>
          </w:tcPr>
          <w:p w14:paraId="49EE60B6" w14:textId="77777777" w:rsidR="00630E5E" w:rsidRPr="00630E5E" w:rsidRDefault="00630E5E" w:rsidP="00630E5E">
            <w:pPr>
              <w:jc w:val="right"/>
              <w:rPr>
                <w:rFonts w:ascii="Arial" w:eastAsia="Times New Roman" w:hAnsi="Arial" w:cs="Arial"/>
                <w:b/>
                <w:bCs/>
                <w:color w:val="000000"/>
                <w:sz w:val="20"/>
                <w:szCs w:val="20"/>
              </w:rPr>
            </w:pPr>
            <w:r w:rsidRPr="00630E5E">
              <w:rPr>
                <w:rFonts w:ascii="Arial" w:eastAsia="Times New Roman" w:hAnsi="Arial" w:cs="Arial"/>
                <w:b/>
                <w:bCs/>
                <w:color w:val="000000"/>
                <w:sz w:val="20"/>
                <w:szCs w:val="20"/>
              </w:rPr>
              <w:t xml:space="preserve">12.60 </w:t>
            </w:r>
          </w:p>
        </w:tc>
        <w:tc>
          <w:tcPr>
            <w:tcW w:w="1180" w:type="dxa"/>
            <w:tcBorders>
              <w:top w:val="nil"/>
              <w:left w:val="single" w:sz="4" w:space="0" w:color="auto"/>
              <w:bottom w:val="single" w:sz="4" w:space="0" w:color="auto"/>
              <w:right w:val="single" w:sz="4" w:space="0" w:color="auto"/>
            </w:tcBorders>
            <w:shd w:val="clear" w:color="000000" w:fill="99CCFF"/>
            <w:noWrap/>
            <w:vAlign w:val="bottom"/>
            <w:hideMark/>
          </w:tcPr>
          <w:p w14:paraId="5900F1DE" w14:textId="77777777" w:rsidR="00630E5E" w:rsidRPr="00630E5E" w:rsidRDefault="00630E5E" w:rsidP="00630E5E">
            <w:pPr>
              <w:jc w:val="right"/>
              <w:rPr>
                <w:rFonts w:ascii="Arial" w:eastAsia="Times New Roman" w:hAnsi="Arial" w:cs="Arial"/>
                <w:b/>
                <w:bCs/>
                <w:color w:val="000000"/>
                <w:sz w:val="20"/>
                <w:szCs w:val="20"/>
              </w:rPr>
            </w:pPr>
            <w:r w:rsidRPr="00630E5E">
              <w:rPr>
                <w:rFonts w:ascii="Arial" w:eastAsia="Times New Roman" w:hAnsi="Arial" w:cs="Arial"/>
                <w:b/>
                <w:bCs/>
                <w:color w:val="000000"/>
                <w:sz w:val="20"/>
                <w:szCs w:val="20"/>
              </w:rPr>
              <w:t>100%</w:t>
            </w:r>
          </w:p>
        </w:tc>
        <w:tc>
          <w:tcPr>
            <w:tcW w:w="1220" w:type="dxa"/>
            <w:tcBorders>
              <w:top w:val="nil"/>
              <w:left w:val="single" w:sz="4" w:space="0" w:color="auto"/>
              <w:bottom w:val="single" w:sz="4" w:space="0" w:color="auto"/>
              <w:right w:val="single" w:sz="4" w:space="0" w:color="auto"/>
            </w:tcBorders>
            <w:shd w:val="clear" w:color="000000" w:fill="99CCFF"/>
            <w:noWrap/>
            <w:vAlign w:val="bottom"/>
            <w:hideMark/>
          </w:tcPr>
          <w:p w14:paraId="144BC3FE" w14:textId="77777777" w:rsidR="00630E5E" w:rsidRPr="00630E5E" w:rsidRDefault="00630E5E" w:rsidP="00630E5E">
            <w:pPr>
              <w:jc w:val="right"/>
              <w:rPr>
                <w:rFonts w:ascii="Arial" w:eastAsia="Times New Roman" w:hAnsi="Arial" w:cs="Arial"/>
                <w:b/>
                <w:bCs/>
                <w:color w:val="000000"/>
                <w:sz w:val="20"/>
                <w:szCs w:val="20"/>
              </w:rPr>
            </w:pPr>
            <w:r w:rsidRPr="00630E5E">
              <w:rPr>
                <w:rFonts w:ascii="Arial" w:eastAsia="Times New Roman" w:hAnsi="Arial" w:cs="Arial"/>
                <w:b/>
                <w:bCs/>
                <w:color w:val="000000"/>
                <w:sz w:val="20"/>
                <w:szCs w:val="20"/>
              </w:rPr>
              <w:t>100%</w:t>
            </w:r>
          </w:p>
        </w:tc>
        <w:tc>
          <w:tcPr>
            <w:tcW w:w="1360" w:type="dxa"/>
            <w:tcBorders>
              <w:top w:val="nil"/>
              <w:left w:val="single" w:sz="4" w:space="0" w:color="auto"/>
              <w:bottom w:val="single" w:sz="4" w:space="0" w:color="auto"/>
              <w:right w:val="single" w:sz="4" w:space="0" w:color="auto"/>
            </w:tcBorders>
            <w:shd w:val="clear" w:color="000000" w:fill="99CCFF"/>
            <w:noWrap/>
            <w:vAlign w:val="bottom"/>
            <w:hideMark/>
          </w:tcPr>
          <w:p w14:paraId="39AAA1CB" w14:textId="77777777" w:rsidR="00630E5E" w:rsidRPr="00630E5E" w:rsidRDefault="00630E5E" w:rsidP="00630E5E">
            <w:pPr>
              <w:jc w:val="right"/>
              <w:rPr>
                <w:rFonts w:ascii="Arial" w:eastAsia="Times New Roman" w:hAnsi="Arial" w:cs="Arial"/>
                <w:b/>
                <w:bCs/>
                <w:color w:val="000000"/>
                <w:sz w:val="20"/>
                <w:szCs w:val="20"/>
              </w:rPr>
            </w:pPr>
            <w:r w:rsidRPr="00630E5E">
              <w:rPr>
                <w:rFonts w:ascii="Arial" w:eastAsia="Times New Roman" w:hAnsi="Arial" w:cs="Arial"/>
                <w:b/>
                <w:bCs/>
                <w:color w:val="000000"/>
                <w:sz w:val="20"/>
                <w:szCs w:val="20"/>
              </w:rPr>
              <w:t xml:space="preserve">66.78 </w:t>
            </w:r>
          </w:p>
        </w:tc>
      </w:tr>
      <w:tr w:rsidR="00630E5E" w:rsidRPr="00630E5E" w14:paraId="507BDE7F" w14:textId="77777777" w:rsidTr="00630E5E">
        <w:trPr>
          <w:trHeight w:val="255"/>
        </w:trPr>
        <w:tc>
          <w:tcPr>
            <w:tcW w:w="1960" w:type="dxa"/>
            <w:tcBorders>
              <w:top w:val="nil"/>
              <w:left w:val="nil"/>
              <w:bottom w:val="nil"/>
              <w:right w:val="nil"/>
            </w:tcBorders>
            <w:noWrap/>
            <w:vAlign w:val="bottom"/>
            <w:hideMark/>
          </w:tcPr>
          <w:p w14:paraId="4422AF59" w14:textId="77777777" w:rsidR="00630E5E" w:rsidRPr="00630E5E" w:rsidRDefault="00630E5E" w:rsidP="00630E5E">
            <w:pPr>
              <w:jc w:val="right"/>
              <w:rPr>
                <w:rFonts w:ascii="Arial" w:eastAsia="Times New Roman" w:hAnsi="Arial" w:cs="Arial"/>
                <w:b/>
                <w:bCs/>
                <w:color w:val="000000"/>
                <w:sz w:val="20"/>
                <w:szCs w:val="20"/>
              </w:rPr>
            </w:pPr>
          </w:p>
        </w:tc>
        <w:tc>
          <w:tcPr>
            <w:tcW w:w="2380" w:type="dxa"/>
            <w:tcBorders>
              <w:top w:val="nil"/>
              <w:left w:val="nil"/>
              <w:bottom w:val="nil"/>
              <w:right w:val="nil"/>
            </w:tcBorders>
            <w:noWrap/>
            <w:vAlign w:val="bottom"/>
            <w:hideMark/>
          </w:tcPr>
          <w:p w14:paraId="01ADB46A" w14:textId="77777777" w:rsidR="00630E5E" w:rsidRPr="00630E5E" w:rsidRDefault="00630E5E" w:rsidP="00630E5E">
            <w:pPr>
              <w:rPr>
                <w:rFonts w:ascii="Times New Roman" w:eastAsia="Times New Roman" w:hAnsi="Times New Roman" w:cs="Times New Roman"/>
                <w:sz w:val="20"/>
                <w:szCs w:val="20"/>
              </w:rPr>
            </w:pPr>
          </w:p>
        </w:tc>
        <w:tc>
          <w:tcPr>
            <w:tcW w:w="1280" w:type="dxa"/>
            <w:tcBorders>
              <w:top w:val="nil"/>
              <w:left w:val="nil"/>
              <w:bottom w:val="nil"/>
              <w:right w:val="nil"/>
            </w:tcBorders>
            <w:noWrap/>
            <w:vAlign w:val="bottom"/>
            <w:hideMark/>
          </w:tcPr>
          <w:p w14:paraId="7FEEFA21" w14:textId="77777777" w:rsidR="00630E5E" w:rsidRPr="00630E5E" w:rsidRDefault="00630E5E" w:rsidP="00630E5E">
            <w:pPr>
              <w:rPr>
                <w:rFonts w:ascii="Times New Roman" w:eastAsia="Times New Roman" w:hAnsi="Times New Roman" w:cs="Times New Roman"/>
                <w:sz w:val="20"/>
                <w:szCs w:val="20"/>
              </w:rPr>
            </w:pPr>
          </w:p>
        </w:tc>
        <w:tc>
          <w:tcPr>
            <w:tcW w:w="1180" w:type="dxa"/>
            <w:tcBorders>
              <w:top w:val="nil"/>
              <w:left w:val="nil"/>
              <w:bottom w:val="nil"/>
              <w:right w:val="nil"/>
            </w:tcBorders>
            <w:noWrap/>
            <w:vAlign w:val="bottom"/>
            <w:hideMark/>
          </w:tcPr>
          <w:p w14:paraId="0DFEC9F7" w14:textId="77777777" w:rsidR="00630E5E" w:rsidRPr="00630E5E" w:rsidRDefault="00630E5E" w:rsidP="00630E5E">
            <w:pPr>
              <w:rPr>
                <w:rFonts w:ascii="Times New Roman" w:eastAsia="Times New Roman" w:hAnsi="Times New Roman" w:cs="Times New Roman"/>
                <w:sz w:val="20"/>
                <w:szCs w:val="20"/>
              </w:rPr>
            </w:pPr>
          </w:p>
        </w:tc>
        <w:tc>
          <w:tcPr>
            <w:tcW w:w="1220" w:type="dxa"/>
            <w:tcBorders>
              <w:top w:val="nil"/>
              <w:left w:val="nil"/>
              <w:bottom w:val="nil"/>
              <w:right w:val="nil"/>
            </w:tcBorders>
            <w:noWrap/>
            <w:vAlign w:val="bottom"/>
            <w:hideMark/>
          </w:tcPr>
          <w:p w14:paraId="0296CA99" w14:textId="77777777" w:rsidR="00630E5E" w:rsidRPr="00630E5E" w:rsidRDefault="00630E5E" w:rsidP="00630E5E">
            <w:pPr>
              <w:rPr>
                <w:rFonts w:ascii="Times New Roman" w:eastAsia="Times New Roman" w:hAnsi="Times New Roman" w:cs="Times New Roman"/>
                <w:sz w:val="20"/>
                <w:szCs w:val="20"/>
              </w:rPr>
            </w:pPr>
          </w:p>
        </w:tc>
        <w:tc>
          <w:tcPr>
            <w:tcW w:w="1360" w:type="dxa"/>
            <w:tcBorders>
              <w:top w:val="nil"/>
              <w:left w:val="nil"/>
              <w:bottom w:val="nil"/>
              <w:right w:val="nil"/>
            </w:tcBorders>
            <w:noWrap/>
            <w:vAlign w:val="bottom"/>
            <w:hideMark/>
          </w:tcPr>
          <w:p w14:paraId="6DE6F618" w14:textId="77777777" w:rsidR="00630E5E" w:rsidRPr="00630E5E" w:rsidRDefault="00630E5E" w:rsidP="00630E5E">
            <w:pPr>
              <w:rPr>
                <w:rFonts w:ascii="Times New Roman" w:eastAsia="Times New Roman" w:hAnsi="Times New Roman" w:cs="Times New Roman"/>
                <w:sz w:val="20"/>
                <w:szCs w:val="20"/>
              </w:rPr>
            </w:pPr>
          </w:p>
        </w:tc>
      </w:tr>
      <w:tr w:rsidR="00630E5E" w:rsidRPr="00630E5E" w14:paraId="7E86CD73" w14:textId="77777777" w:rsidTr="00630E5E">
        <w:trPr>
          <w:trHeight w:val="300"/>
        </w:trPr>
        <w:tc>
          <w:tcPr>
            <w:tcW w:w="1960" w:type="dxa"/>
            <w:tcBorders>
              <w:top w:val="single" w:sz="4" w:space="0" w:color="auto"/>
              <w:left w:val="single" w:sz="4" w:space="0" w:color="auto"/>
              <w:bottom w:val="single" w:sz="4" w:space="0" w:color="auto"/>
              <w:right w:val="single" w:sz="4" w:space="0" w:color="auto"/>
            </w:tcBorders>
            <w:vAlign w:val="bottom"/>
            <w:hideMark/>
          </w:tcPr>
          <w:p w14:paraId="3B138E92" w14:textId="77777777" w:rsidR="00630E5E" w:rsidRPr="00630E5E" w:rsidRDefault="00630E5E" w:rsidP="00630E5E">
            <w:pPr>
              <w:rPr>
                <w:rFonts w:ascii="Arial" w:eastAsia="Times New Roman" w:hAnsi="Arial" w:cs="Arial"/>
                <w:sz w:val="20"/>
                <w:szCs w:val="20"/>
              </w:rPr>
            </w:pPr>
            <w:r w:rsidRPr="00630E5E">
              <w:rPr>
                <w:rFonts w:ascii="Arial" w:eastAsia="Times New Roman" w:hAnsi="Arial" w:cs="Arial"/>
                <w:sz w:val="20"/>
                <w:szCs w:val="20"/>
              </w:rPr>
              <w:t>Oats</w:t>
            </w:r>
          </w:p>
        </w:tc>
        <w:tc>
          <w:tcPr>
            <w:tcW w:w="238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851481C" w14:textId="77777777" w:rsidR="00630E5E" w:rsidRPr="00630E5E" w:rsidRDefault="00630E5E" w:rsidP="00630E5E">
            <w:pPr>
              <w:rPr>
                <w:rFonts w:ascii="Arial" w:eastAsia="Times New Roman" w:hAnsi="Arial" w:cs="Arial"/>
                <w:i/>
                <w:iCs/>
                <w:sz w:val="20"/>
                <w:szCs w:val="20"/>
              </w:rPr>
            </w:pPr>
            <w:proofErr w:type="spellStart"/>
            <w:r w:rsidRPr="00630E5E">
              <w:rPr>
                <w:rFonts w:ascii="Arial" w:eastAsia="Times New Roman" w:hAnsi="Arial" w:cs="Arial"/>
                <w:i/>
                <w:iCs/>
                <w:sz w:val="20"/>
                <w:szCs w:val="20"/>
              </w:rPr>
              <w:t>Avena</w:t>
            </w:r>
            <w:proofErr w:type="spellEnd"/>
            <w:r w:rsidRPr="00630E5E">
              <w:rPr>
                <w:rFonts w:ascii="Arial" w:eastAsia="Times New Roman" w:hAnsi="Arial" w:cs="Arial"/>
                <w:i/>
                <w:iCs/>
                <w:sz w:val="20"/>
                <w:szCs w:val="20"/>
              </w:rPr>
              <w:t xml:space="preserve"> sativa</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6148488A"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 xml:space="preserve">25.00 </w:t>
            </w:r>
          </w:p>
        </w:tc>
        <w:tc>
          <w:tcPr>
            <w:tcW w:w="1180" w:type="dxa"/>
            <w:tcBorders>
              <w:top w:val="single" w:sz="4" w:space="0" w:color="auto"/>
              <w:left w:val="single" w:sz="4" w:space="0" w:color="auto"/>
              <w:bottom w:val="single" w:sz="4" w:space="0" w:color="auto"/>
              <w:right w:val="single" w:sz="4" w:space="0" w:color="auto"/>
            </w:tcBorders>
            <w:vAlign w:val="bottom"/>
            <w:hideMark/>
          </w:tcPr>
          <w:p w14:paraId="2D13C567"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100%</w:t>
            </w:r>
          </w:p>
        </w:tc>
        <w:tc>
          <w:tcPr>
            <w:tcW w:w="1220" w:type="dxa"/>
            <w:tcBorders>
              <w:top w:val="single" w:sz="4" w:space="0" w:color="auto"/>
              <w:left w:val="single" w:sz="4" w:space="0" w:color="auto"/>
              <w:bottom w:val="single" w:sz="4" w:space="0" w:color="auto"/>
              <w:right w:val="single" w:sz="4" w:space="0" w:color="auto"/>
            </w:tcBorders>
            <w:vAlign w:val="bottom"/>
            <w:hideMark/>
          </w:tcPr>
          <w:p w14:paraId="6A88D024"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100%</w:t>
            </w: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DA5D91C" w14:textId="77777777" w:rsidR="00630E5E" w:rsidRPr="00630E5E" w:rsidRDefault="00630E5E" w:rsidP="00630E5E">
            <w:pPr>
              <w:jc w:val="right"/>
              <w:rPr>
                <w:rFonts w:ascii="Arial" w:eastAsia="Times New Roman" w:hAnsi="Arial" w:cs="Arial"/>
                <w:sz w:val="20"/>
                <w:szCs w:val="20"/>
              </w:rPr>
            </w:pPr>
            <w:r w:rsidRPr="00630E5E">
              <w:rPr>
                <w:rFonts w:ascii="Arial" w:eastAsia="Times New Roman" w:hAnsi="Arial" w:cs="Arial"/>
                <w:sz w:val="20"/>
                <w:szCs w:val="20"/>
              </w:rPr>
              <w:t>11.14</w:t>
            </w:r>
          </w:p>
        </w:tc>
      </w:tr>
      <w:tr w:rsidR="00630E5E" w:rsidRPr="00630E5E" w14:paraId="06A1EFAC" w14:textId="77777777" w:rsidTr="00630E5E">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1484C385" w14:textId="77777777" w:rsidR="00630E5E" w:rsidRPr="00630E5E" w:rsidRDefault="00630E5E" w:rsidP="00630E5E">
            <w:pPr>
              <w:jc w:val="right"/>
              <w:rPr>
                <w:rFonts w:ascii="Arial" w:eastAsia="Times New Roman" w:hAnsi="Arial" w:cs="Arial"/>
                <w:sz w:val="20"/>
                <w:szCs w:val="20"/>
              </w:rPr>
            </w:pPr>
          </w:p>
        </w:tc>
        <w:tc>
          <w:tcPr>
            <w:tcW w:w="2380"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444D79D7"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Cover Crop Subtotal</w:t>
            </w:r>
          </w:p>
        </w:tc>
        <w:tc>
          <w:tcPr>
            <w:tcW w:w="12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6B48139B"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 xml:space="preserve">25.00 </w:t>
            </w:r>
          </w:p>
        </w:tc>
        <w:tc>
          <w:tcPr>
            <w:tcW w:w="11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7250DBB"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100%</w:t>
            </w:r>
          </w:p>
        </w:tc>
        <w:tc>
          <w:tcPr>
            <w:tcW w:w="12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738C927A"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100%</w:t>
            </w:r>
          </w:p>
        </w:tc>
        <w:tc>
          <w:tcPr>
            <w:tcW w:w="13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72DC4076" w14:textId="77777777" w:rsidR="00630E5E" w:rsidRPr="00630E5E" w:rsidRDefault="00630E5E" w:rsidP="00630E5E">
            <w:pPr>
              <w:jc w:val="right"/>
              <w:rPr>
                <w:rFonts w:ascii="Arial" w:eastAsia="Times New Roman" w:hAnsi="Arial" w:cs="Arial"/>
                <w:b/>
                <w:bCs/>
                <w:sz w:val="20"/>
                <w:szCs w:val="20"/>
              </w:rPr>
            </w:pPr>
            <w:r w:rsidRPr="00630E5E">
              <w:rPr>
                <w:rFonts w:ascii="Arial" w:eastAsia="Times New Roman" w:hAnsi="Arial" w:cs="Arial"/>
                <w:b/>
                <w:bCs/>
                <w:sz w:val="20"/>
                <w:szCs w:val="20"/>
              </w:rPr>
              <w:t>11.14</w:t>
            </w:r>
          </w:p>
        </w:tc>
      </w:tr>
    </w:tbl>
    <w:p w14:paraId="7EFE3845" w14:textId="77777777" w:rsidR="007A2E81" w:rsidRDefault="007A2E81" w:rsidP="00A0508F">
      <w:pPr>
        <w:rPr>
          <w:b/>
          <w:bCs/>
          <w:sz w:val="40"/>
          <w:szCs w:val="40"/>
        </w:rPr>
      </w:pPr>
    </w:p>
    <w:p w14:paraId="1448B471" w14:textId="77777777" w:rsidR="007A2E81" w:rsidRDefault="007A2E81" w:rsidP="00A0508F">
      <w:pPr>
        <w:rPr>
          <w:b/>
          <w:bCs/>
          <w:sz w:val="40"/>
          <w:szCs w:val="40"/>
        </w:rPr>
      </w:pPr>
    </w:p>
    <w:p w14:paraId="26F7B483" w14:textId="443F1A02" w:rsidR="00211590" w:rsidRPr="00211590" w:rsidRDefault="2F2EC836" w:rsidP="00A0508F">
      <w:pPr>
        <w:rPr>
          <w:b/>
          <w:bCs/>
          <w:sz w:val="40"/>
          <w:szCs w:val="40"/>
        </w:rPr>
      </w:pPr>
      <w:r w:rsidRPr="68896D37">
        <w:rPr>
          <w:b/>
          <w:bCs/>
          <w:sz w:val="40"/>
          <w:szCs w:val="40"/>
        </w:rPr>
        <w:t xml:space="preserve">Native </w:t>
      </w:r>
      <w:r w:rsidR="00AA5F8D" w:rsidRPr="68896D37">
        <w:rPr>
          <w:b/>
          <w:bCs/>
          <w:sz w:val="40"/>
          <w:szCs w:val="40"/>
        </w:rPr>
        <w:t xml:space="preserve">Construction General </w:t>
      </w:r>
      <w:r w:rsidR="00211590" w:rsidRPr="68896D37">
        <w:rPr>
          <w:b/>
          <w:bCs/>
          <w:sz w:val="40"/>
          <w:szCs w:val="40"/>
        </w:rPr>
        <w:t xml:space="preserve">Seed Mix Guidance </w:t>
      </w:r>
    </w:p>
    <w:p w14:paraId="7FAAAE53" w14:textId="77777777" w:rsidR="00CF2D0B" w:rsidRDefault="00CF2D0B" w:rsidP="00A0508F">
      <w:pPr>
        <w:rPr>
          <w:b/>
          <w:bCs/>
        </w:rPr>
      </w:pPr>
    </w:p>
    <w:p w14:paraId="388100E1" w14:textId="5483271C" w:rsidR="00CB5C05" w:rsidRPr="00CB5C05" w:rsidRDefault="00282A5E" w:rsidP="00CB5C05">
      <w:r w:rsidRPr="00282A5E">
        <w:rPr>
          <w:b/>
          <w:bCs/>
          <w:noProof/>
        </w:rPr>
        <mc:AlternateContent>
          <mc:Choice Requires="wps">
            <w:drawing>
              <wp:anchor distT="45720" distB="45720" distL="114300" distR="114300" simplePos="0" relativeHeight="251659264" behindDoc="0" locked="0" layoutInCell="1" allowOverlap="1" wp14:anchorId="19BD37AF" wp14:editId="3A15466B">
                <wp:simplePos x="0" y="0"/>
                <wp:positionH relativeFrom="margin">
                  <wp:align>right</wp:align>
                </wp:positionH>
                <wp:positionV relativeFrom="paragraph">
                  <wp:posOffset>177800</wp:posOffset>
                </wp:positionV>
                <wp:extent cx="4143375" cy="2562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562225"/>
                        </a:xfrm>
                        <a:prstGeom prst="rect">
                          <a:avLst/>
                        </a:prstGeom>
                        <a:solidFill>
                          <a:srgbClr val="FFFFFF"/>
                        </a:solidFill>
                        <a:ln w="9525">
                          <a:noFill/>
                          <a:miter lim="800000"/>
                          <a:headEnd/>
                          <a:tailEnd/>
                        </a:ln>
                      </wps:spPr>
                      <wps:txbx>
                        <w:txbxContent>
                          <w:p w14:paraId="17F30970" w14:textId="29175E38" w:rsidR="00282A5E" w:rsidRDefault="00282A5E">
                            <w:r>
                              <w:rPr>
                                <w:noProof/>
                              </w:rPr>
                              <w:drawing>
                                <wp:inline distT="0" distB="0" distL="0" distR="0" wp14:anchorId="0917B90A" wp14:editId="16CE0F5A">
                                  <wp:extent cx="3281045" cy="2461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1045" cy="2461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D37AF" id="_x0000_s1029" type="#_x0000_t202" style="position:absolute;margin-left:275.05pt;margin-top:14pt;width:326.25pt;height:20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" stroked="f">
                <v:textbox>
                  <w:txbxContent>
                    <w:p w14:paraId="17F30970" w14:textId="29175E38" w:rsidR="00282A5E" w:rsidRDefault="00282A5E">
                      <w:r>
                        <w:rPr>
                          <w:noProof/>
                        </w:rPr>
                        <w:drawing>
                          <wp:inline distT="0" distB="0" distL="0" distR="0" wp14:anchorId="0917B90A" wp14:editId="16CE0F5A">
                            <wp:extent cx="3281045" cy="2461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1045" cy="2461895"/>
                                    </a:xfrm>
                                    <a:prstGeom prst="rect">
                                      <a:avLst/>
                                    </a:prstGeom>
                                    <a:noFill/>
                                    <a:ln>
                                      <a:noFill/>
                                    </a:ln>
                                  </pic:spPr>
                                </pic:pic>
                              </a:graphicData>
                            </a:graphic>
                          </wp:inline>
                        </w:drawing>
                      </w:r>
                    </w:p>
                  </w:txbxContent>
                </v:textbox>
                <w10:wrap type="square" anchorx="margin"/>
              </v:shape>
            </w:pict>
          </mc:Fallback>
        </mc:AlternateContent>
      </w:r>
      <w:r w:rsidR="00CB5C05" w:rsidRPr="00CB5C05">
        <w:rPr>
          <w:b/>
          <w:bCs/>
        </w:rPr>
        <w:t>Seed mix name:</w:t>
      </w:r>
      <w:r w:rsidR="00CB5C05" w:rsidRPr="00CB5C05">
        <w:t xml:space="preserve"> </w:t>
      </w:r>
      <w:r w:rsidR="5F98CA7B" w:rsidRPr="00CB5C05">
        <w:t>Native</w:t>
      </w:r>
      <w:r w:rsidR="00AA5F8D">
        <w:t xml:space="preserve"> Construction </w:t>
      </w:r>
      <w:r w:rsidR="4E9DFA3C">
        <w:t>32-24</w:t>
      </w:r>
      <w:r w:rsidR="004C403A">
        <w:t>2</w:t>
      </w:r>
    </w:p>
    <w:p w14:paraId="480B9BFE" w14:textId="27567DDF" w:rsidR="00CB5C05" w:rsidRPr="00CB5C05" w:rsidRDefault="00CB5C05" w:rsidP="00CB5C05">
      <w:r w:rsidRPr="00CB5C05">
        <w:rPr>
          <w:b/>
          <w:bCs/>
        </w:rPr>
        <w:t>Geographic area:</w:t>
      </w:r>
      <w:r w:rsidRPr="00CB5C05">
        <w:t xml:space="preserve"> </w:t>
      </w:r>
      <w:r w:rsidR="005966A9">
        <w:t>S</w:t>
      </w:r>
      <w:r w:rsidR="00AA5F8D">
        <w:t>tatewide</w:t>
      </w:r>
      <w:r w:rsidR="005966A9">
        <w:t xml:space="preserve"> </w:t>
      </w:r>
      <w:r w:rsidRPr="00CB5C05">
        <w:t xml:space="preserve"> </w:t>
      </w:r>
    </w:p>
    <w:p w14:paraId="006C3A77" w14:textId="4304FA68" w:rsidR="00CB5C05" w:rsidRPr="00CB5C05" w:rsidRDefault="00CB5C05" w:rsidP="00CB5C05">
      <w:r w:rsidRPr="68896D37">
        <w:rPr>
          <w:b/>
          <w:bCs/>
        </w:rPr>
        <w:t>Year of development:</w:t>
      </w:r>
      <w:r>
        <w:t>20</w:t>
      </w:r>
      <w:r w:rsidR="2F704465">
        <w:t>09</w:t>
      </w:r>
    </w:p>
    <w:p w14:paraId="530B9CE1" w14:textId="1E9FC0CA" w:rsidR="00CB5C05" w:rsidRPr="00CB5C05" w:rsidRDefault="00CB5C05" w:rsidP="00CB5C05">
      <w:r w:rsidRPr="68896D37">
        <w:rPr>
          <w:b/>
          <w:bCs/>
        </w:rPr>
        <w:t>Year/s of update:</w:t>
      </w:r>
      <w:r>
        <w:t xml:space="preserve"> </w:t>
      </w:r>
      <w:r w:rsidR="2A8B7093">
        <w:t>2023</w:t>
      </w:r>
      <w:r>
        <w:t xml:space="preserve"> </w:t>
      </w:r>
    </w:p>
    <w:p w14:paraId="7F8E3FAC" w14:textId="76FE6085" w:rsidR="00CB5C05" w:rsidRPr="00CB5C05" w:rsidRDefault="00CB5C05" w:rsidP="00CB5C05">
      <w:r w:rsidRPr="00CB5C05">
        <w:rPr>
          <w:b/>
          <w:bCs/>
        </w:rPr>
        <w:t>Status</w:t>
      </w:r>
      <w:r w:rsidRPr="00CB5C05">
        <w:t xml:space="preserve"> (Standard or Pilot mix): </w:t>
      </w:r>
      <w:r w:rsidR="00AA5F8D">
        <w:t>Pilot</w:t>
      </w:r>
    </w:p>
    <w:p w14:paraId="0F2DB049" w14:textId="77777777" w:rsidR="00CB5C05" w:rsidRPr="00CB5C05" w:rsidRDefault="00CB5C05" w:rsidP="00CB5C05">
      <w:pPr>
        <w:rPr>
          <w:b/>
          <w:bCs/>
        </w:rPr>
      </w:pPr>
      <w:r w:rsidRPr="00CB5C05">
        <w:rPr>
          <w:b/>
          <w:bCs/>
        </w:rPr>
        <w:t xml:space="preserve">Primary and Secondary Functions: </w:t>
      </w:r>
    </w:p>
    <w:p w14:paraId="66D08B4D" w14:textId="025B7E2C" w:rsidR="00CB5C05" w:rsidRPr="00CB5C05" w:rsidRDefault="00CB5C05" w:rsidP="00CB5C05">
      <w:r w:rsidRPr="00CB5C05">
        <w:rPr>
          <w:i/>
          <w:iCs/>
          <w:color w:val="4472C4" w:themeColor="accent1"/>
        </w:rPr>
        <w:t>Primary</w:t>
      </w:r>
      <w:r w:rsidRPr="00CB5C05">
        <w:t xml:space="preserve"> – </w:t>
      </w:r>
      <w:r w:rsidR="00AA5F8D">
        <w:t xml:space="preserve">Soil stabilization, </w:t>
      </w:r>
      <w:r w:rsidR="005966A9">
        <w:t>wetland functions, and water management</w:t>
      </w:r>
      <w:r w:rsidRPr="00CB5C05">
        <w:t xml:space="preserve">   </w:t>
      </w:r>
    </w:p>
    <w:p w14:paraId="697CFE4F" w14:textId="58B70041" w:rsidR="00CB5C05" w:rsidRPr="00CB5C05" w:rsidRDefault="00CB5C05" w:rsidP="00CB5C05">
      <w:r w:rsidRPr="00CB5C05">
        <w:rPr>
          <w:i/>
          <w:iCs/>
          <w:color w:val="4472C4" w:themeColor="accent1"/>
        </w:rPr>
        <w:t>Secondary</w:t>
      </w:r>
      <w:r w:rsidRPr="00CB5C05">
        <w:t xml:space="preserve"> – </w:t>
      </w:r>
      <w:r w:rsidR="00AA5F8D">
        <w:t xml:space="preserve">Wildlife habitat, </w:t>
      </w:r>
    </w:p>
    <w:p w14:paraId="5FF55EBB" w14:textId="3629138E" w:rsidR="00AA5F8D" w:rsidRDefault="00CB5C05" w:rsidP="68896D37">
      <w:pPr>
        <w:spacing w:line="257" w:lineRule="auto"/>
        <w:rPr>
          <w:rFonts w:eastAsia="Calibri"/>
        </w:rPr>
      </w:pPr>
      <w:r w:rsidRPr="68896D37">
        <w:rPr>
          <w:b/>
          <w:bCs/>
        </w:rPr>
        <w:t>Similar State Mixes:</w:t>
      </w:r>
      <w:r>
        <w:t xml:space="preserve"> </w:t>
      </w:r>
      <w:r w:rsidR="227A5055" w:rsidRPr="68896D37">
        <w:rPr>
          <w:rFonts w:eastAsia="Calibri"/>
        </w:rPr>
        <w:t>35-24</w:t>
      </w:r>
      <w:r w:rsidR="004C403A">
        <w:rPr>
          <w:rFonts w:eastAsia="Calibri"/>
        </w:rPr>
        <w:t>2</w:t>
      </w:r>
      <w:r w:rsidR="227A5055" w:rsidRPr="68896D37">
        <w:rPr>
          <w:rFonts w:eastAsia="Calibri"/>
        </w:rPr>
        <w:t xml:space="preserve"> Mesic Prairie General, 35-44</w:t>
      </w:r>
      <w:r w:rsidR="004C403A">
        <w:rPr>
          <w:rFonts w:eastAsia="Calibri"/>
        </w:rPr>
        <w:t>2</w:t>
      </w:r>
      <w:r w:rsidR="227A5055" w:rsidRPr="68896D37">
        <w:rPr>
          <w:rFonts w:eastAsia="Calibri"/>
        </w:rPr>
        <w:t xml:space="preserve"> Mesic Prairie Northwest, 35-54</w:t>
      </w:r>
      <w:r w:rsidR="004C403A">
        <w:rPr>
          <w:rFonts w:eastAsia="Calibri"/>
        </w:rPr>
        <w:t>2</w:t>
      </w:r>
      <w:r w:rsidR="227A5055" w:rsidRPr="68896D37">
        <w:rPr>
          <w:rFonts w:eastAsia="Calibri"/>
        </w:rPr>
        <w:t xml:space="preserve"> Mesic Prairie Southwest, 35-64</w:t>
      </w:r>
      <w:r w:rsidR="004C403A">
        <w:rPr>
          <w:rFonts w:eastAsia="Calibri"/>
        </w:rPr>
        <w:t>2</w:t>
      </w:r>
      <w:r w:rsidR="227A5055" w:rsidRPr="68896D37">
        <w:rPr>
          <w:rFonts w:eastAsia="Calibri"/>
        </w:rPr>
        <w:t xml:space="preserve"> Mesic Prairie Southeast, </w:t>
      </w:r>
    </w:p>
    <w:p w14:paraId="1A002532" w14:textId="62A231E7" w:rsidR="00AA5F8D" w:rsidRDefault="00AA5F8D" w:rsidP="68896D37"/>
    <w:p w14:paraId="07B60716" w14:textId="7733A18B" w:rsidR="00CF2D0B" w:rsidRPr="00FF1096" w:rsidRDefault="00740B8B" w:rsidP="00CB5C05">
      <w:pPr>
        <w:rPr>
          <w:b/>
          <w:bCs/>
        </w:rPr>
      </w:pPr>
      <w:r w:rsidRPr="00FF1096">
        <w:rPr>
          <w:b/>
          <w:bCs/>
        </w:rPr>
        <w:t>Compatible</w:t>
      </w:r>
      <w:r w:rsidR="00CF2D0B" w:rsidRPr="00FF1096">
        <w:rPr>
          <w:b/>
          <w:bCs/>
        </w:rPr>
        <w:t xml:space="preserve"> NRCS Practice Standards: </w:t>
      </w:r>
      <w:r w:rsidR="00AA5F8D" w:rsidRPr="00AA5F8D">
        <w:t>NA</w:t>
      </w:r>
    </w:p>
    <w:p w14:paraId="45543DA0" w14:textId="76AF0DAB" w:rsidR="00CF2D0B" w:rsidRPr="00FF1096" w:rsidRDefault="00CF2D0B" w:rsidP="00CB5C05">
      <w:pPr>
        <w:rPr>
          <w:b/>
          <w:bCs/>
        </w:rPr>
      </w:pPr>
      <w:r w:rsidRPr="00FF1096">
        <w:rPr>
          <w:b/>
          <w:bCs/>
        </w:rPr>
        <w:t xml:space="preserve">Compatible Minnesota CRP Practices: </w:t>
      </w:r>
      <w:r w:rsidR="00AA5F8D" w:rsidRPr="00AA5F8D">
        <w:t>NA</w:t>
      </w:r>
    </w:p>
    <w:p w14:paraId="3C78000F" w14:textId="1EC16F1B" w:rsidR="00CB5C05" w:rsidRPr="00CB5C05" w:rsidRDefault="00CB5C05" w:rsidP="00CB5C05">
      <w:r w:rsidRPr="68896D37">
        <w:rPr>
          <w:b/>
          <w:bCs/>
        </w:rPr>
        <w:t>Suitable Site Conditions:</w:t>
      </w:r>
      <w:r>
        <w:t xml:space="preserve"> </w:t>
      </w:r>
      <w:r w:rsidR="00AA5F8D">
        <w:t xml:space="preserve">Constructed components of restoration projects such as embankments, berms, ditch plugs and other areas of construction. The mix contains a combination of </w:t>
      </w:r>
      <w:r w:rsidR="30A6A272">
        <w:t>moist soil</w:t>
      </w:r>
      <w:r w:rsidR="00AA5F8D">
        <w:t xml:space="preserve"> and upland species to accommodate a variety of hydrology conditions. The mix also includes a combination of early, mid and late successional species. </w:t>
      </w:r>
      <w:r>
        <w:t xml:space="preserve"> </w:t>
      </w:r>
    </w:p>
    <w:p w14:paraId="62A72413" w14:textId="11285912" w:rsidR="00CB5C05" w:rsidRPr="00CB5C05" w:rsidRDefault="00CB5C05" w:rsidP="00CB5C05">
      <w:r w:rsidRPr="00CB5C05">
        <w:rPr>
          <w:b/>
          <w:bCs/>
        </w:rPr>
        <w:t>How to Modify for Site Conditions and Goals:</w:t>
      </w:r>
      <w:r w:rsidRPr="00CB5C05">
        <w:t xml:space="preserve">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w:t>
      </w:r>
      <w:r w:rsidR="005966A9">
        <w:t xml:space="preserve">Additional plant species can also be added from containerized plants. </w:t>
      </w:r>
      <w:r w:rsidR="0038586B">
        <w:t>It is also common that seed substitutions (</w:t>
      </w:r>
      <w:hyperlink r:id="rId12" w:history="1">
        <w:r w:rsidR="0038586B" w:rsidRPr="0038586B">
          <w:rPr>
            <w:rStyle w:val="Hyperlink"/>
          </w:rPr>
          <w:t>see list</w:t>
        </w:r>
      </w:hyperlink>
      <w:r w:rsidR="0038586B">
        <w:t xml:space="preserve">) are used for wetland seed mixes when other species are not available. </w:t>
      </w:r>
    </w:p>
    <w:p w14:paraId="10A2FF49" w14:textId="29DAC978" w:rsidR="002E29D0" w:rsidRDefault="00CB5C05" w:rsidP="002E29D0">
      <w:r w:rsidRPr="009B075A">
        <w:rPr>
          <w:b/>
          <w:bCs/>
          <w:color w:val="000000"/>
        </w:rPr>
        <w:t>Site Preparation:</w:t>
      </w:r>
      <w:r w:rsidRPr="009B075A">
        <w:rPr>
          <w:color w:val="000000"/>
          <w:sz w:val="24"/>
          <w:szCs w:val="24"/>
        </w:rPr>
        <w:t xml:space="preserve">  </w:t>
      </w:r>
      <w:r w:rsidRPr="009B075A">
        <w:rPr>
          <w:color w:val="000000"/>
        </w:rPr>
        <w:t>Primary goals for site preparation tend to focus on controlling weed species and providing ideal</w:t>
      </w:r>
      <w:r w:rsidRPr="00CB5C05">
        <w:rPr>
          <w:color w:val="000000"/>
        </w:rPr>
        <w:t xml:space="preserve"> growing conditions for seed or plants to be installed</w:t>
      </w:r>
      <w:r w:rsidR="00976D3C">
        <w:rPr>
          <w:color w:val="000000"/>
        </w:rPr>
        <w:t xml:space="preserve"> as well as loosening compaction of construction areas to allow for suitable growing conditions. It is important this seed mix is not seeded on hard crusted areas. It is best to seed the mix shortly after construction is completed and soils are still soft and moist or after additional disking and harrowing of the soil surface to sure that good seed to soil contact is accomplished. </w:t>
      </w:r>
      <w:r w:rsidRPr="00FF1096">
        <w:rPr>
          <w:color w:val="000000"/>
        </w:rPr>
        <w:t>If a</w:t>
      </w:r>
      <w:r w:rsidR="00976D3C">
        <w:rPr>
          <w:color w:val="000000"/>
        </w:rPr>
        <w:t xml:space="preserve">n area to be seeded is in </w:t>
      </w:r>
      <w:r w:rsidRPr="00FF1096">
        <w:rPr>
          <w:color w:val="000000"/>
        </w:rPr>
        <w:t xml:space="preserve">perennial weeds such as smooth brome, quack grass or bluegrass and cannot be put </w:t>
      </w:r>
      <w:r w:rsidR="00976D3C">
        <w:rPr>
          <w:color w:val="000000"/>
        </w:rPr>
        <w:t xml:space="preserve">controlled as part of other site preparation activities for larger areas </w:t>
      </w:r>
      <w:r w:rsidRPr="00FF1096">
        <w:rPr>
          <w:color w:val="000000"/>
        </w:rPr>
        <w:t>intensive site preparation may be needed. Herbicide application is often recommended, as tilling alone may re-suspend the rhizomes, allowing them to continue growing.</w:t>
      </w:r>
      <w:r w:rsidR="002E29D0" w:rsidRPr="00251242">
        <w:t xml:space="preserve"> </w:t>
      </w:r>
      <w:r w:rsidR="002E29D0" w:rsidRPr="002F2A64">
        <w:t xml:space="preserve">For species such as reed canary grass and giant reed grass, </w:t>
      </w:r>
      <w:r w:rsidR="00FF1096">
        <w:t xml:space="preserve">cropping with chemicals that break down quickly, or </w:t>
      </w:r>
      <w:r w:rsidR="002E29D0" w:rsidRPr="002F2A64">
        <w:t xml:space="preserve">combinations of mowing, herbicide application, prescribed burning, and tilling (or possibly additional herbicide </w:t>
      </w:r>
      <w:r w:rsidR="002E29D0" w:rsidRPr="002F2A64">
        <w:lastRenderedPageBreak/>
        <w:t>appl</w:t>
      </w:r>
      <w:r w:rsidR="002E29D0" w:rsidRPr="00251242">
        <w:t xml:space="preserve">ication) may be needed. The </w:t>
      </w:r>
      <w:r w:rsidR="002E29D0" w:rsidRPr="00251242">
        <w:rPr>
          <w:color w:val="0000FF"/>
        </w:rPr>
        <w:t xml:space="preserve">Minnesota Wetland Restoration Guide </w:t>
      </w:r>
      <w:r w:rsidR="002E29D0" w:rsidRPr="00251242">
        <w:t>provides</w:t>
      </w:r>
      <w:r w:rsidR="002E29D0">
        <w:t xml:space="preserve"> detailed management recommendations for a wide range of species.</w:t>
      </w:r>
    </w:p>
    <w:p w14:paraId="09C6B28C" w14:textId="77777777" w:rsidR="00FF1096" w:rsidRDefault="00FF1096" w:rsidP="00CB5C05">
      <w:pPr>
        <w:rPr>
          <w:b/>
          <w:bCs/>
        </w:rPr>
      </w:pPr>
    </w:p>
    <w:p w14:paraId="00849A3C" w14:textId="6003B86A" w:rsidR="00CB5C05" w:rsidRPr="00CB5C05" w:rsidRDefault="00CB5C05" w:rsidP="00CB5C05">
      <w:pPr>
        <w:rPr>
          <w:b/>
          <w:bCs/>
        </w:rPr>
      </w:pPr>
      <w:r w:rsidRPr="00CB5C05">
        <w:rPr>
          <w:b/>
          <w:bCs/>
        </w:rPr>
        <w:t xml:space="preserve">Seeding Dates: </w:t>
      </w:r>
    </w:p>
    <w:p w14:paraId="09DE1AA1" w14:textId="6D361216" w:rsidR="002E29D0" w:rsidRDefault="00976D3C" w:rsidP="002E29D0">
      <w:r>
        <w:rPr>
          <w:color w:val="000000"/>
        </w:rPr>
        <w:t xml:space="preserve">As this seed mix has a dominance of grasses which establish well in the spring this mix can be installed </w:t>
      </w:r>
      <w:r w:rsidRPr="00CB5C05">
        <w:rPr>
          <w:color w:val="000000"/>
        </w:rPr>
        <w:t>once soil temperatures reach 50 degrees Fahrenheit until June 30</w:t>
      </w:r>
      <w:r w:rsidRPr="00CB5C05">
        <w:rPr>
          <w:color w:val="000000"/>
          <w:vertAlign w:val="superscript"/>
        </w:rPr>
        <w:t>th</w:t>
      </w:r>
      <w:r>
        <w:rPr>
          <w:color w:val="000000"/>
        </w:rPr>
        <w:t xml:space="preserve">. </w:t>
      </w:r>
      <w:r w:rsidRPr="00700B6E">
        <w:rPr>
          <w:color w:val="000000"/>
        </w:rPr>
        <w:t xml:space="preserve">If a wetland project will be constructed in the spring/early </w:t>
      </w:r>
      <w:r w:rsidR="008B5488" w:rsidRPr="00700B6E">
        <w:rPr>
          <w:color w:val="000000"/>
        </w:rPr>
        <w:t>summer</w:t>
      </w:r>
      <w:r w:rsidR="008B5488">
        <w:rPr>
          <w:color w:val="000000"/>
        </w:rPr>
        <w:t xml:space="preserve"> or</w:t>
      </w:r>
      <w:r w:rsidRPr="00700B6E">
        <w:rPr>
          <w:color w:val="000000"/>
        </w:rPr>
        <w:t xml:space="preserve"> will have flowing or fluctuating water levels it may be better to seed later in the spring after water levels stabilize. </w:t>
      </w:r>
      <w:r>
        <w:rPr>
          <w:color w:val="000000"/>
        </w:rPr>
        <w:t xml:space="preserve">The seed mixes can also be </w:t>
      </w:r>
      <w:r w:rsidR="005966A9">
        <w:rPr>
          <w:color w:val="000000"/>
        </w:rPr>
        <w:t>installed in the fall after October 15</w:t>
      </w:r>
      <w:r w:rsidR="005966A9" w:rsidRPr="005966A9">
        <w:rPr>
          <w:color w:val="000000"/>
          <w:vertAlign w:val="superscript"/>
        </w:rPr>
        <w:t>th</w:t>
      </w:r>
      <w:r w:rsidR="005966A9">
        <w:rPr>
          <w:color w:val="000000"/>
        </w:rPr>
        <w:t xml:space="preserve"> as a dormant seeding</w:t>
      </w:r>
      <w:r>
        <w:rPr>
          <w:color w:val="000000"/>
        </w:rPr>
        <w:t xml:space="preserve">. </w:t>
      </w:r>
      <w:r w:rsidR="00AF326F">
        <w:t xml:space="preserve">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t>Wetland construction may be conducted at other times of year requiring seeding. Mid</w:t>
      </w:r>
      <w:r w:rsidR="004C403A">
        <w:t>-</w:t>
      </w:r>
      <w:r>
        <w:t xml:space="preserve">summer and mid fall are the two seasons that typically have the lowest success for seeding. Mid-summer can lead to poor establishment if there are drought conditions and mid fall can lead to some species germinating and the seedlings then need to survive through the winter. Early fall can sometimes be a successfully time to seed grasses, particularly if there is sufficient moisture and cooler temperatures. </w:t>
      </w:r>
    </w:p>
    <w:p w14:paraId="61558FA0" w14:textId="77777777" w:rsidR="002E29D0" w:rsidRPr="00CB5C05" w:rsidRDefault="002E29D0" w:rsidP="00CB5C05">
      <w:pPr>
        <w:rPr>
          <w:color w:val="000000"/>
        </w:rPr>
      </w:pPr>
    </w:p>
    <w:p w14:paraId="5EA5DF3F" w14:textId="77777777" w:rsidR="00CB5C05" w:rsidRPr="00CB5C05" w:rsidRDefault="00CB5C05" w:rsidP="00CB5C05">
      <w:pPr>
        <w:rPr>
          <w:b/>
          <w:bCs/>
        </w:rPr>
      </w:pPr>
      <w:r w:rsidRPr="00CB5C05">
        <w:rPr>
          <w:b/>
          <w:bCs/>
        </w:rPr>
        <w:t xml:space="preserve">Seedbed preparation </w:t>
      </w:r>
    </w:p>
    <w:p w14:paraId="1C7264A8" w14:textId="2737B6D5" w:rsidR="00CB5C05" w:rsidRPr="00CB5C05" w:rsidRDefault="00CB5C05" w:rsidP="00CB5C05">
      <w:pPr>
        <w:autoSpaceDE w:val="0"/>
        <w:autoSpaceDN w:val="0"/>
        <w:adjustRightInd w:val="0"/>
        <w:rPr>
          <w:color w:val="000000"/>
        </w:rPr>
      </w:pPr>
      <w:r w:rsidRPr="00CB5C05">
        <w:rPr>
          <w:color w:val="000000"/>
        </w:rPr>
        <w:t xml:space="preserve">Methods that are used to prepare a seedbed can vary depending on the type of seeding equipment to be used. If a traditional native seed drill will be used, a smooth, firm seedbed is required. </w:t>
      </w:r>
      <w:r w:rsidR="00976D3C">
        <w:rPr>
          <w:color w:val="000000"/>
        </w:rPr>
        <w:t>S</w:t>
      </w:r>
      <w:r w:rsidRPr="00CB5C05">
        <w:rPr>
          <w:color w:val="000000"/>
        </w:rPr>
        <w:t>ites that were recently tilled will require 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w:t>
      </w:r>
      <w:r w:rsidR="00976D3C">
        <w:rPr>
          <w:color w:val="000000"/>
        </w:rPr>
        <w:t>, particularly after construction</w:t>
      </w:r>
      <w:r w:rsidRPr="00CB5C05">
        <w:rPr>
          <w:color w:val="000000"/>
        </w:rPr>
        <w:t xml:space="preserve">, so </w:t>
      </w:r>
      <w:proofErr w:type="spellStart"/>
      <w:r w:rsidRPr="00CB5C05">
        <w:rPr>
          <w:color w:val="000000"/>
        </w:rPr>
        <w:t>cultipacking</w:t>
      </w:r>
      <w:proofErr w:type="spellEnd"/>
      <w:r w:rsidRPr="00CB5C05">
        <w:rPr>
          <w:color w:val="000000"/>
        </w:rPr>
        <w:t xml:space="preserve"> or light harrowing before broadcast seeding may be needed. Seed can be lost on smooth surfaces, so it is recommended to seed into temporary cover crops or to roll sites after seeding. </w:t>
      </w:r>
    </w:p>
    <w:p w14:paraId="6B8C42AB" w14:textId="77777777" w:rsidR="00CB5C05" w:rsidRPr="00CB5C05" w:rsidRDefault="00CB5C05" w:rsidP="00CB5C05">
      <w:pPr>
        <w:autoSpaceDE w:val="0"/>
        <w:autoSpaceDN w:val="0"/>
        <w:adjustRightInd w:val="0"/>
        <w:rPr>
          <w:rFonts w:asciiTheme="minorHAnsi" w:hAnsiTheme="minorHAnsi" w:cstheme="minorHAnsi"/>
          <w:color w:val="000000"/>
        </w:rPr>
      </w:pPr>
      <w:r w:rsidRPr="00CB5C05">
        <w:rPr>
          <w:rFonts w:asciiTheme="minorHAnsi" w:hAnsiTheme="minorHAnsi" w:cstheme="minorHAnsi"/>
          <w:b/>
          <w:bCs/>
          <w:i/>
          <w:iCs/>
          <w:color w:val="000000"/>
        </w:rPr>
        <w:t xml:space="preserve">Temporary Cover Crops and Mulch </w:t>
      </w:r>
    </w:p>
    <w:p w14:paraId="7EE67874" w14:textId="21ED3D7F" w:rsidR="00CB5C05" w:rsidRDefault="00CB5C05" w:rsidP="00CB5C05">
      <w:pPr>
        <w:rPr>
          <w:color w:val="000000"/>
        </w:rPr>
      </w:pPr>
      <w:r w:rsidRPr="00CB5C05">
        <w:rPr>
          <w:color w:val="000000"/>
        </w:rPr>
        <w:t xml:space="preserve">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w:t>
      </w:r>
      <w:r w:rsidR="002E29D0" w:rsidRPr="00D25655">
        <w:rPr>
          <w:color w:val="000000"/>
        </w:rPr>
        <w:t xml:space="preserve">Slough grass </w:t>
      </w:r>
      <w:r w:rsidR="00FF1096">
        <w:rPr>
          <w:color w:val="000000"/>
        </w:rPr>
        <w:t>(</w:t>
      </w:r>
      <w:proofErr w:type="spellStart"/>
      <w:r w:rsidR="00FF1096">
        <w:rPr>
          <w:i/>
          <w:iCs/>
          <w:lang w:val="en"/>
        </w:rPr>
        <w:t>Beckmannia</w:t>
      </w:r>
      <w:proofErr w:type="spellEnd"/>
      <w:r w:rsidR="00FF1096">
        <w:rPr>
          <w:i/>
          <w:iCs/>
          <w:lang w:val="en"/>
        </w:rPr>
        <w:t xml:space="preserve"> </w:t>
      </w:r>
      <w:proofErr w:type="spellStart"/>
      <w:r w:rsidR="008B5488">
        <w:rPr>
          <w:i/>
          <w:iCs/>
          <w:lang w:val="en"/>
        </w:rPr>
        <w:t>syzigachne</w:t>
      </w:r>
      <w:proofErr w:type="spellEnd"/>
      <w:r w:rsidR="008B5488">
        <w:rPr>
          <w:color w:val="000000"/>
        </w:rPr>
        <w:t>)</w:t>
      </w:r>
      <w:r w:rsidR="008B5488" w:rsidRPr="00D25655">
        <w:rPr>
          <w:color w:val="000000"/>
        </w:rPr>
        <w:t xml:space="preserve"> is</w:t>
      </w:r>
      <w:r w:rsidR="002E29D0" w:rsidRPr="00D25655">
        <w:rPr>
          <w:color w:val="000000"/>
        </w:rPr>
        <w:t xml:space="preserve"> a common cover crop for wet areas. Annual rye grass was commonly used but is generally avoided now due to its ability to inhibit germination of native species. </w:t>
      </w:r>
      <w:r w:rsidRPr="00CB5C05">
        <w:rPr>
          <w:color w:val="000000"/>
        </w:rPr>
        <w:t xml:space="preserve">Other cover crops typically used in agricultural fields, such as buckwheat, pennycress, and radishes, can help stabilize soil, build soil quality, or provide weed competition as part of restoration projects. Also see </w:t>
      </w:r>
      <w:hyperlink r:id="rId13" w:history="1">
        <w:r w:rsidRPr="00FF1096">
          <w:rPr>
            <w:rStyle w:val="Hyperlink"/>
          </w:rPr>
          <w:t>NRCS Agronomy Technical Note 31</w:t>
        </w:r>
      </w:hyperlink>
      <w:r w:rsidRPr="00CB5C05">
        <w:rPr>
          <w:color w:val="000000"/>
        </w:rPr>
        <w:t>.</w:t>
      </w:r>
      <w:r w:rsidR="009D08D4">
        <w:rPr>
          <w:color w:val="000000"/>
        </w:rPr>
        <w:t xml:space="preserve"> Temporary cover crops can be a good option for areas of construction to meet erosion permits and allow time to manage weeds before permanent seed mixes are installed. </w:t>
      </w:r>
    </w:p>
    <w:p w14:paraId="6AA7EE5A" w14:textId="77777777" w:rsidR="00CB5C05" w:rsidRPr="00CB5C05" w:rsidRDefault="00CB5C05" w:rsidP="00CB5C05">
      <w:pPr>
        <w:rPr>
          <w:b/>
          <w:bCs/>
        </w:rPr>
      </w:pPr>
      <w:r w:rsidRPr="00CB5C05">
        <w:rPr>
          <w:b/>
          <w:bCs/>
        </w:rPr>
        <w:t>Seeding Methods</w:t>
      </w:r>
    </w:p>
    <w:p w14:paraId="6FC446E7" w14:textId="7D7C94B3" w:rsidR="00A81A3A" w:rsidRDefault="00CB5C05" w:rsidP="00CB5C05">
      <w:r w:rsidRPr="00CB5C05">
        <w:t>A variety of seeding equipment is used for seeding including broadcast seeders, traditional native seed drills, no-till drills, Brillion seeders and Trillion seeders. Specialized native seed drills can handle a wide variety of seed (fluffy, smooth, large and small) and low seeding rates</w:t>
      </w:r>
      <w:r w:rsidR="00F14A97">
        <w:t xml:space="preserve"> </w:t>
      </w:r>
      <w:r w:rsidR="009D08D4">
        <w:t xml:space="preserve">and work well for seed mixes on slopes where seed to soil contact is needed and they work well for grass seed that typically does best when seeded around ¼ inch into the soil, so they are a good option for this seed mix. </w:t>
      </w:r>
      <w:r w:rsidR="00F14A97">
        <w:t xml:space="preserve"> </w:t>
      </w:r>
    </w:p>
    <w:p w14:paraId="2B33C555" w14:textId="60CB3BDC" w:rsidR="00CB5C05" w:rsidRPr="00CB5C05" w:rsidRDefault="00CB5C05" w:rsidP="00CB5C05">
      <w:pPr>
        <w:rPr>
          <w:b/>
          <w:bCs/>
        </w:rPr>
      </w:pPr>
      <w:r w:rsidRPr="00CB5C05">
        <w:rPr>
          <w:b/>
          <w:bCs/>
        </w:rPr>
        <w:lastRenderedPageBreak/>
        <w:t xml:space="preserve">Management Methods – </w:t>
      </w:r>
    </w:p>
    <w:p w14:paraId="7C2628C3" w14:textId="77777777" w:rsidR="00CB5C05" w:rsidRPr="00CB5C05" w:rsidRDefault="00CB5C05" w:rsidP="00CB5C05">
      <w:pPr>
        <w:rPr>
          <w:rFonts w:asciiTheme="minorHAnsi" w:hAnsiTheme="minorHAnsi" w:cstheme="minorHAnsi"/>
          <w:i/>
          <w:iCs/>
          <w:color w:val="0070C0"/>
          <w:sz w:val="23"/>
          <w:szCs w:val="23"/>
        </w:rPr>
      </w:pPr>
      <w:r w:rsidRPr="00CB5C05">
        <w:rPr>
          <w:rFonts w:asciiTheme="minorHAnsi" w:hAnsiTheme="minorHAnsi" w:cstheme="minorHAnsi"/>
          <w:i/>
          <w:iCs/>
          <w:color w:val="0070C0"/>
          <w:sz w:val="23"/>
          <w:szCs w:val="23"/>
        </w:rPr>
        <w:t xml:space="preserve">Establishment Mowing </w:t>
      </w:r>
    </w:p>
    <w:p w14:paraId="0CDC1B85" w14:textId="48F74A45" w:rsidR="00A81A3A" w:rsidRDefault="00A81A3A" w:rsidP="00A81A3A">
      <w:r>
        <w:t xml:space="preserve">Establishment mowing may be beneficial for </w:t>
      </w:r>
      <w:r w:rsidR="009D08D4">
        <w:t>p</w:t>
      </w:r>
      <w:r>
        <w:t>lantings if the site conditions are not to</w:t>
      </w:r>
      <w:r w:rsidR="002F2A64">
        <w:t>o</w:t>
      </w:r>
      <w:r>
        <w:t xml:space="preserve">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Pr>
          <w:color w:val="0000FF"/>
        </w:rPr>
        <w:t>http://bwsr.state.mn.us/restoration/resources/documents/appendix-6a-3mowing.pdf</w:t>
      </w:r>
    </w:p>
    <w:p w14:paraId="5EF6CDB4" w14:textId="731887B8" w:rsidR="00CB5C05" w:rsidRDefault="00A81A3A" w:rsidP="00CB5C05">
      <w:r>
        <w:t xml:space="preserve">Mowing </w:t>
      </w:r>
      <w:r w:rsidR="00CB5C05" w:rsidRPr="00CB5C05">
        <w:t xml:space="preserve">at least twice the first season and once the second season with a flail mower or stalk chopper (to prevent smothering plants) is often </w:t>
      </w:r>
      <w:r>
        <w:t xml:space="preserve">helpful </w:t>
      </w:r>
      <w:r w:rsidR="00CB5C05" w:rsidRPr="00CB5C05">
        <w:t xml:space="preserve">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3D3E5ED0" w14:textId="77777777" w:rsidR="00CB5C05" w:rsidRPr="00CB5C05" w:rsidRDefault="00CB5C05" w:rsidP="00CB5C05">
      <w:pPr>
        <w:autoSpaceDE w:val="0"/>
        <w:autoSpaceDN w:val="0"/>
        <w:adjustRightInd w:val="0"/>
        <w:rPr>
          <w:rFonts w:asciiTheme="minorHAnsi" w:hAnsiTheme="minorHAnsi" w:cstheme="minorHAnsi"/>
          <w:color w:val="0070C0"/>
          <w:sz w:val="23"/>
          <w:szCs w:val="23"/>
        </w:rPr>
      </w:pPr>
      <w:bookmarkStart w:id="0" w:name="_Hlk60209216"/>
      <w:r w:rsidRPr="00CB5C05">
        <w:rPr>
          <w:rFonts w:asciiTheme="minorHAnsi" w:hAnsiTheme="minorHAnsi" w:cstheme="minorHAnsi"/>
          <w:i/>
          <w:iCs/>
          <w:color w:val="0070C0"/>
          <w:sz w:val="23"/>
          <w:szCs w:val="23"/>
        </w:rPr>
        <w:t>Prescribed Burning</w:t>
      </w:r>
      <w:bookmarkEnd w:id="0"/>
      <w:r w:rsidRPr="00CB5C05">
        <w:rPr>
          <w:rFonts w:asciiTheme="minorHAnsi" w:hAnsiTheme="minorHAnsi" w:cstheme="minorHAnsi"/>
          <w:i/>
          <w:iCs/>
          <w:color w:val="0070C0"/>
          <w:sz w:val="23"/>
          <w:szCs w:val="23"/>
        </w:rPr>
        <w:t xml:space="preserve"> </w:t>
      </w:r>
    </w:p>
    <w:p w14:paraId="1CC82509" w14:textId="3B052A42" w:rsidR="00CB5C05" w:rsidRPr="00CB5C05" w:rsidRDefault="00CB5C05" w:rsidP="00CB5C05">
      <w:pPr>
        <w:autoSpaceDE w:val="0"/>
        <w:autoSpaceDN w:val="0"/>
        <w:adjustRightInd w:val="0"/>
        <w:rPr>
          <w:color w:val="000000"/>
        </w:rPr>
      </w:pPr>
      <w:r w:rsidRPr="00CB5C05">
        <w:rPr>
          <w:color w:val="000000"/>
        </w:rPr>
        <w:t xml:space="preserve">Prescribed burning </w:t>
      </w:r>
      <w:r w:rsidR="00A81A3A">
        <w:rPr>
          <w:color w:val="000000"/>
        </w:rPr>
        <w:t xml:space="preserve">can be beneficial for some plantings, particularly if burning was part of the historic plant community for the project. Burning can </w:t>
      </w:r>
      <w:r w:rsidRPr="00CB5C05">
        <w:rPr>
          <w:color w:val="000000"/>
        </w:rPr>
        <w:t>remove thatch, control invading woody and invasive plants</w:t>
      </w:r>
      <w:r w:rsidR="00A81A3A">
        <w:rPr>
          <w:color w:val="000000"/>
        </w:rPr>
        <w:t>,</w:t>
      </w:r>
      <w:r w:rsidRPr="00CB5C05">
        <w:rPr>
          <w:color w:val="000000"/>
        </w:rPr>
        <w:t xml:space="preserve"> stimulate seed germination and new plant growth, and increase diversity in plantings.</w:t>
      </w:r>
      <w:r w:rsidR="00A81A3A">
        <w:rPr>
          <w:color w:val="000000"/>
        </w:rPr>
        <w:t xml:space="preserve"> In some </w:t>
      </w:r>
      <w:r w:rsidR="008B5488">
        <w:rPr>
          <w:color w:val="000000"/>
        </w:rPr>
        <w:t>cases,</w:t>
      </w:r>
      <w:r w:rsidR="00A81A3A">
        <w:rPr>
          <w:color w:val="000000"/>
        </w:rPr>
        <w:t xml:space="preserve"> the disturbance and increased nutrients from a burn can stimulate reed canary grass germination, so this should be considered when the species is a risk for a project. </w:t>
      </w:r>
      <w:r w:rsidRPr="00CB5C05">
        <w:rPr>
          <w:color w:val="000000"/>
        </w:rPr>
        <w:t xml:space="preserve"> Burning is typically initiated after the third or fourth years of establishment, after native vegetation is reaching maturity. </w:t>
      </w:r>
      <w:r w:rsidR="00A81A3A">
        <w:rPr>
          <w:color w:val="000000"/>
        </w:rPr>
        <w:t>Burning is commonly conducted</w:t>
      </w:r>
      <w:r w:rsidRPr="00CB5C05">
        <w:rPr>
          <w:color w:val="000000"/>
        </w:rPr>
        <w:t xml:space="preserve">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r w:rsidR="008B5488" w:rsidRPr="00CB5C05">
        <w:rPr>
          <w:color w:val="000000"/>
        </w:rPr>
        <w:t>foraging,</w:t>
      </w:r>
      <w:r w:rsidRPr="00CB5C05">
        <w:rPr>
          <w:color w:val="000000"/>
        </w:rPr>
        <w:t xml:space="preserve"> or pollinators have pupated and are mobile). </w:t>
      </w:r>
    </w:p>
    <w:p w14:paraId="45418B15" w14:textId="77777777" w:rsidR="00CB5C05" w:rsidRPr="00CB5C05" w:rsidRDefault="00CB5C05" w:rsidP="00CB5C05">
      <w:pPr>
        <w:autoSpaceDE w:val="0"/>
        <w:autoSpaceDN w:val="0"/>
        <w:adjustRightInd w:val="0"/>
        <w:rPr>
          <w:rFonts w:asciiTheme="minorHAnsi" w:hAnsiTheme="minorHAnsi" w:cstheme="minorHAnsi"/>
          <w:color w:val="0070C0"/>
          <w:sz w:val="23"/>
          <w:szCs w:val="23"/>
        </w:rPr>
      </w:pPr>
      <w:r w:rsidRPr="00CB5C05">
        <w:rPr>
          <w:rFonts w:asciiTheme="minorHAnsi" w:hAnsiTheme="minorHAnsi" w:cstheme="minorHAnsi"/>
          <w:i/>
          <w:iCs/>
          <w:color w:val="0070C0"/>
          <w:sz w:val="23"/>
          <w:szCs w:val="23"/>
        </w:rPr>
        <w:t xml:space="preserve">Spot Treatment of Weeds </w:t>
      </w:r>
    </w:p>
    <w:p w14:paraId="5BD42207" w14:textId="1A9ADF65" w:rsidR="002E29D0" w:rsidRDefault="00CB5C05" w:rsidP="6F92F2CB">
      <w:pPr>
        <w:autoSpaceDE w:val="0"/>
        <w:autoSpaceDN w:val="0"/>
        <w:adjustRightInd w:val="0"/>
        <w:rPr>
          <w:rFonts w:eastAsia="Calibri"/>
          <w:color w:val="000000" w:themeColor="text1"/>
        </w:rPr>
      </w:pPr>
      <w:r w:rsidRPr="6F92F2CB">
        <w:rPr>
          <w:color w:val="000000" w:themeColor="text1"/>
        </w:rPr>
        <w:t xml:space="preserve">Problematic perennial weeds that cannot be managed effectively with other methods may require spot treatment with herbicide for sufficient control. Examples include reed canary grass, </w:t>
      </w:r>
      <w:r w:rsidR="00A81A3A" w:rsidRPr="6F92F2CB">
        <w:rPr>
          <w:color w:val="000000" w:themeColor="text1"/>
        </w:rPr>
        <w:t>q</w:t>
      </w:r>
      <w:r w:rsidRPr="6F92F2CB">
        <w:rPr>
          <w:color w:val="000000" w:themeColor="text1"/>
        </w:rPr>
        <w:t xml:space="preserve">uack grass, purple loosestrife, Canada thistle, </w:t>
      </w:r>
      <w:r w:rsidR="00A81A3A" w:rsidRPr="6F92F2CB">
        <w:rPr>
          <w:color w:val="000000" w:themeColor="text1"/>
        </w:rPr>
        <w:t xml:space="preserve">and </w:t>
      </w:r>
      <w:r w:rsidRPr="6F92F2CB">
        <w:rPr>
          <w:color w:val="000000" w:themeColor="text1"/>
        </w:rPr>
        <w:t xml:space="preserve">Kentucky bluegrass. In some cases, herbicide treatment is not conducted during the first or second year of establishment to avoid impact to </w:t>
      </w:r>
      <w:r w:rsidR="008B5488" w:rsidRPr="6F92F2CB">
        <w:rPr>
          <w:color w:val="000000" w:themeColor="text1"/>
        </w:rPr>
        <w:t>seedlings,</w:t>
      </w:r>
      <w:r w:rsidRPr="6F92F2CB">
        <w:rPr>
          <w:color w:val="000000" w:themeColor="text1"/>
        </w:rPr>
        <w:t xml:space="preserve">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002E29D0">
        <w:t xml:space="preserve">Grass-specific herbicides are used to control reed canary grass in wet meadow restorations, particularly on sites dominated by forbs and sedges that will not be affected. Grass-specific herbicides are most effective on young reed canary plants </w:t>
      </w:r>
      <w:r w:rsidR="0038586B">
        <w:t xml:space="preserve">(6-12 inches tall) </w:t>
      </w:r>
      <w:r w:rsidR="002E29D0">
        <w:t xml:space="preserve">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8B5488">
        <w:t>herbicide,</w:t>
      </w:r>
      <w:r w:rsidR="002E29D0">
        <w:t xml:space="preserve"> it is important that an aquatic safe form of glyphosate and surfactant be used near open water. When using herbicides, labels must be followed, certified applicators must conduct the treatment and Personal Protective Equipment (PPE) must be used according to label instructions.</w:t>
      </w:r>
      <w:r w:rsidR="404A914C">
        <w:t xml:space="preserve"> </w:t>
      </w:r>
      <w:r w:rsidR="404A914C" w:rsidRPr="6F92F2CB">
        <w:rPr>
          <w:rFonts w:eastAsia="Calibri"/>
          <w:color w:val="000000" w:themeColor="text1"/>
        </w:rPr>
        <w:t>Minimize herbicide first year/spot spray year 2. Unless significant problem weeds show up.</w:t>
      </w:r>
    </w:p>
    <w:p w14:paraId="498CEB60" w14:textId="2A8D1380" w:rsidR="00CB5C05" w:rsidRPr="00CB5C05" w:rsidRDefault="00CB5C05" w:rsidP="00CB5C05">
      <w:r w:rsidRPr="00CB5C05">
        <w:rPr>
          <w:b/>
          <w:bCs/>
        </w:rPr>
        <w:t>What to Expect in Year 1:</w:t>
      </w:r>
      <w:r w:rsidRPr="00CB5C05">
        <w:t xml:space="preserve"> During year one of growth many native grasses</w:t>
      </w:r>
      <w:r w:rsidR="00A81A3A">
        <w:t>, sedges, rushes</w:t>
      </w:r>
      <w:r w:rsidRPr="00CB5C05">
        <w:t xml:space="preserve"> and flowers will remain about one to three inches tall. </w:t>
      </w:r>
      <w:r w:rsidR="0038586B">
        <w:t xml:space="preserve">Agricultural weeds such a ragweed, barnyard grass and foxtail </w:t>
      </w:r>
      <w:r w:rsidR="0038586B">
        <w:lastRenderedPageBreak/>
        <w:t xml:space="preserve">barley may be common but not necessarily a cause for alarm. </w:t>
      </w:r>
      <w:r w:rsidRPr="00CB5C05">
        <w:t xml:space="preserve">The mowing will play an important role to keep weeds managed so the native plant seedlings receive sufficient water and sunlight. The planting may have a somewhat weedy appearance this first year. </w:t>
      </w:r>
    </w:p>
    <w:p w14:paraId="3E2EAC80" w14:textId="77777777" w:rsidR="00CB5C05" w:rsidRPr="00CB5C05" w:rsidRDefault="00CB5C05" w:rsidP="00CB5C05">
      <w:r w:rsidRPr="00CB5C05">
        <w:t>(IMAGE)</w:t>
      </w:r>
    </w:p>
    <w:p w14:paraId="1F9C7030" w14:textId="77777777" w:rsidR="00CB5C05" w:rsidRPr="00CB5C05" w:rsidRDefault="00CB5C05" w:rsidP="00CB5C05">
      <w:r w:rsidRPr="00CB5C05">
        <w:rPr>
          <w:b/>
          <w:bCs/>
        </w:rPr>
        <w:t>What to Expect in Year 2:</w:t>
      </w:r>
      <w:r w:rsidRPr="00CB5C05">
        <w:t xml:space="preserve"> During year two the native grasses and flowers may reach their mature height and some of them may flower. Mowing will still play a key role in managing weeds and allowing seedlings to grow. </w:t>
      </w:r>
    </w:p>
    <w:p w14:paraId="4F889211" w14:textId="77777777" w:rsidR="00CB5C05" w:rsidRPr="00CB5C05" w:rsidRDefault="00CB5C05" w:rsidP="00CB5C05">
      <w:r w:rsidRPr="00CB5C05">
        <w:t>(IMAGE)</w:t>
      </w:r>
    </w:p>
    <w:p w14:paraId="45586B98" w14:textId="77777777" w:rsidR="00CB5C05" w:rsidRPr="00CB5C05" w:rsidRDefault="00CB5C05" w:rsidP="00CB5C05">
      <w:r w:rsidRPr="00CB5C05">
        <w:rPr>
          <w:b/>
          <w:bCs/>
        </w:rPr>
        <w:t>What to Expect in Year 3 and Beyond:</w:t>
      </w:r>
      <w:r w:rsidRPr="00CB5C05">
        <w:t xml:space="preserve"> By the end of year three most of the native plants will be nearing maturity and should flower. There may be some species that are slow to establish and may not show up for several years. </w:t>
      </w:r>
    </w:p>
    <w:p w14:paraId="6C2482C1" w14:textId="77777777" w:rsidR="00CB5C05" w:rsidRPr="00CB5C05" w:rsidRDefault="00CB5C05" w:rsidP="00CB5C05">
      <w:pPr>
        <w:rPr>
          <w:b/>
          <w:bCs/>
        </w:rPr>
      </w:pPr>
      <w:r w:rsidRPr="00CB5C05">
        <w:rPr>
          <w:b/>
          <w:bCs/>
        </w:rPr>
        <w:t>Problem Solving</w:t>
      </w:r>
    </w:p>
    <w:p w14:paraId="4FB90C77" w14:textId="77777777" w:rsidR="00CB5C05" w:rsidRPr="00CB5C05" w:rsidRDefault="00CB5C05" w:rsidP="00CB5C05">
      <w:r w:rsidRPr="00CB5C05">
        <w:rPr>
          <w:i/>
          <w:iCs/>
          <w:color w:val="4472C4" w:themeColor="accent1"/>
        </w:rPr>
        <w:t>Poor Establishment After Year 1</w:t>
      </w:r>
      <w:r w:rsidRPr="00CB5C05">
        <w:t xml:space="preserve">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09200FDE" w14:textId="190AA57D" w:rsidR="00CB5C05" w:rsidRPr="00CB5C05" w:rsidRDefault="00CB5C05" w:rsidP="00CB5C05">
      <w:r w:rsidRPr="00CB5C05">
        <w:rPr>
          <w:i/>
          <w:iCs/>
          <w:color w:val="4472C4" w:themeColor="accent1"/>
        </w:rPr>
        <w:t>Poor Establishment After Year 2</w:t>
      </w:r>
      <w:r w:rsidRPr="00CB5C05">
        <w:t xml:space="preserve"> – If native plant seedlings are not establishing about every one to two feet it may be necessary to inter-seed some species into the planting. </w:t>
      </w:r>
    </w:p>
    <w:p w14:paraId="2E0D7AEF" w14:textId="1F20F16F" w:rsidR="00CB5C05" w:rsidRPr="00CB5C05" w:rsidRDefault="00CB5C05" w:rsidP="00CB5C05">
      <w:r w:rsidRPr="00CB5C05">
        <w:rPr>
          <w:i/>
          <w:iCs/>
          <w:color w:val="4472C4" w:themeColor="accent1"/>
        </w:rPr>
        <w:t>High Annual and Biennial Weed Competition</w:t>
      </w:r>
      <w:r w:rsidRPr="00CB5C05">
        <w:t xml:space="preserve"> – Typically, annual and biennial weed competition is not a big problem in </w:t>
      </w:r>
      <w:r w:rsidR="00A81A3A">
        <w:t xml:space="preserve">wet meadow </w:t>
      </w:r>
      <w:r w:rsidRPr="00CB5C05">
        <w:t xml:space="preserve">plantings as they are short lived and as long as mowing is conducted before seed is set they should not add additional seed into the planting. </w:t>
      </w:r>
    </w:p>
    <w:p w14:paraId="56320102" w14:textId="17CBCFAC" w:rsidR="00CB5C05" w:rsidRPr="00CB5C05" w:rsidRDefault="00CB5C05" w:rsidP="00CB5C05">
      <w:r w:rsidRPr="00CB5C05">
        <w:rPr>
          <w:i/>
          <w:iCs/>
          <w:color w:val="4472C4" w:themeColor="accent1"/>
        </w:rPr>
        <w:t>High Perennial Weed Competition</w:t>
      </w:r>
      <w:r w:rsidRPr="00CB5C05">
        <w:t xml:space="preserve"> – Dense establishment of perennial species can be a problem as it can prevent the establishment of forbs. </w:t>
      </w:r>
      <w:r w:rsidR="00887D66">
        <w:t>H</w:t>
      </w:r>
      <w:r w:rsidRPr="00CB5C05">
        <w:t xml:space="preserve">erbicide application may be needed to manage perennial weeds.  </w:t>
      </w:r>
    </w:p>
    <w:p w14:paraId="575D8FED" w14:textId="226B3C75" w:rsidR="00CB5C05" w:rsidRPr="00CB5C05" w:rsidRDefault="00CB5C05" w:rsidP="00CB5C05">
      <w:r w:rsidRPr="00CB5C05">
        <w:rPr>
          <w:i/>
          <w:iCs/>
          <w:color w:val="4472C4" w:themeColor="accent1"/>
        </w:rPr>
        <w:t>Low Forb Diversity After Year 3</w:t>
      </w:r>
      <w:r w:rsidRPr="00CB5C05">
        <w:t xml:space="preserve"> – If grasses and sedges are establishing successfully but there is a lack of forbs it is recommended to conduct inter-seeding of additional forbs in late fall. See the </w:t>
      </w:r>
      <w:hyperlink r:id="rId14" w:history="1">
        <w:r w:rsidRPr="00CB5C05">
          <w:rPr>
            <w:color w:val="0563C1" w:themeColor="hyperlink"/>
            <w:u w:val="single"/>
          </w:rPr>
          <w:t>Xerces Society guide</w:t>
        </w:r>
      </w:hyperlink>
      <w:r w:rsidRPr="00CB5C05">
        <w:t xml:space="preserve"> for additional information about inter-seeding wildflowers.</w:t>
      </w:r>
    </w:p>
    <w:p w14:paraId="3B676E02" w14:textId="77777777" w:rsidR="00CB5C05" w:rsidRPr="00CB5C05" w:rsidRDefault="00CB5C05" w:rsidP="00CB5C05"/>
    <w:p w14:paraId="3F9F4D61" w14:textId="5D685A21" w:rsidR="00CB5C05" w:rsidRDefault="00CB5C05" w:rsidP="00A0508F">
      <w:pPr>
        <w:rPr>
          <w:b/>
          <w:bCs/>
        </w:rPr>
      </w:pPr>
    </w:p>
    <w:p w14:paraId="0756804E" w14:textId="1C84DB6C" w:rsidR="00CB5C05" w:rsidRDefault="00CB5C05" w:rsidP="00A0508F">
      <w:pPr>
        <w:rPr>
          <w:b/>
          <w:bCs/>
        </w:rPr>
      </w:pPr>
    </w:p>
    <w:p w14:paraId="2FE282B8" w14:textId="1FBDA76F" w:rsidR="00CB5C05" w:rsidRDefault="00CB5C05" w:rsidP="00A0508F">
      <w:pPr>
        <w:rPr>
          <w:b/>
          <w:bCs/>
        </w:rPr>
      </w:pPr>
    </w:p>
    <w:p w14:paraId="67436296" w14:textId="5E2CC789" w:rsidR="00DA021C" w:rsidRDefault="00DA021C" w:rsidP="00DC6F8D"/>
    <w:p w14:paraId="2BDAAEA5" w14:textId="30D2D852" w:rsidR="00B05527" w:rsidRDefault="00B05527"/>
    <w:p w14:paraId="23C192CA" w14:textId="5429106B" w:rsidR="00C97F4E" w:rsidRDefault="00C97F4E"/>
    <w:p w14:paraId="4667CC30" w14:textId="77777777" w:rsidR="00C97F4E" w:rsidRDefault="00C97F4E"/>
    <w:sectPr w:rsidR="00C97F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08F"/>
    <w:rsid w:val="00033DE8"/>
    <w:rsid w:val="00051F86"/>
    <w:rsid w:val="00147A00"/>
    <w:rsid w:val="00166430"/>
    <w:rsid w:val="00211590"/>
    <w:rsid w:val="00223BF5"/>
    <w:rsid w:val="00241834"/>
    <w:rsid w:val="00251242"/>
    <w:rsid w:val="00282A5E"/>
    <w:rsid w:val="00282D99"/>
    <w:rsid w:val="0029344D"/>
    <w:rsid w:val="002E29D0"/>
    <w:rsid w:val="002F2A64"/>
    <w:rsid w:val="00364827"/>
    <w:rsid w:val="0038586B"/>
    <w:rsid w:val="004430B1"/>
    <w:rsid w:val="00462D0C"/>
    <w:rsid w:val="00473934"/>
    <w:rsid w:val="00484F2E"/>
    <w:rsid w:val="004C403A"/>
    <w:rsid w:val="004E7807"/>
    <w:rsid w:val="005655BB"/>
    <w:rsid w:val="005966A9"/>
    <w:rsid w:val="00630E5E"/>
    <w:rsid w:val="006E405A"/>
    <w:rsid w:val="00700B6E"/>
    <w:rsid w:val="00740B8B"/>
    <w:rsid w:val="007A2E81"/>
    <w:rsid w:val="008602EB"/>
    <w:rsid w:val="00887D66"/>
    <w:rsid w:val="008B5488"/>
    <w:rsid w:val="008D448E"/>
    <w:rsid w:val="008E6CBF"/>
    <w:rsid w:val="00952A74"/>
    <w:rsid w:val="009632BF"/>
    <w:rsid w:val="00976D3C"/>
    <w:rsid w:val="009B075A"/>
    <w:rsid w:val="009D08D4"/>
    <w:rsid w:val="00A0508F"/>
    <w:rsid w:val="00A12A2B"/>
    <w:rsid w:val="00A323D8"/>
    <w:rsid w:val="00A81A3A"/>
    <w:rsid w:val="00A85D69"/>
    <w:rsid w:val="00AA5F8D"/>
    <w:rsid w:val="00AC642B"/>
    <w:rsid w:val="00AF326F"/>
    <w:rsid w:val="00B05527"/>
    <w:rsid w:val="00B235AF"/>
    <w:rsid w:val="00B520E1"/>
    <w:rsid w:val="00BA347C"/>
    <w:rsid w:val="00C02B88"/>
    <w:rsid w:val="00C97F4E"/>
    <w:rsid w:val="00CB5C05"/>
    <w:rsid w:val="00CE584B"/>
    <w:rsid w:val="00CF2D0B"/>
    <w:rsid w:val="00D25655"/>
    <w:rsid w:val="00D4588B"/>
    <w:rsid w:val="00D81A3F"/>
    <w:rsid w:val="00DA021C"/>
    <w:rsid w:val="00DC6F8D"/>
    <w:rsid w:val="00DF40A8"/>
    <w:rsid w:val="00ED0BD8"/>
    <w:rsid w:val="00ED4CA9"/>
    <w:rsid w:val="00F14A97"/>
    <w:rsid w:val="00F86A41"/>
    <w:rsid w:val="00FF1096"/>
    <w:rsid w:val="03210DDE"/>
    <w:rsid w:val="227A5055"/>
    <w:rsid w:val="2A8B7093"/>
    <w:rsid w:val="2F2EC836"/>
    <w:rsid w:val="2F704465"/>
    <w:rsid w:val="30A6A272"/>
    <w:rsid w:val="404A914C"/>
    <w:rsid w:val="4AF4C9D3"/>
    <w:rsid w:val="4E9DFA3C"/>
    <w:rsid w:val="5F98CA7B"/>
    <w:rsid w:val="68896D37"/>
    <w:rsid w:val="6BC10DF9"/>
    <w:rsid w:val="6D5CDE5A"/>
    <w:rsid w:val="6F92F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5A2C"/>
  <w15:chartTrackingRefBased/>
  <w15:docId w15:val="{9C6D1C5C-9FD2-4156-BF1C-3B5370C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8F"/>
    <w:pPr>
      <w:spacing w:after="0" w:line="240" w:lineRule="auto"/>
    </w:pPr>
    <w:rPr>
      <w:rFonts w:ascii="Calibri" w:hAnsi="Calibri" w:cs="Calibri"/>
    </w:rPr>
  </w:style>
  <w:style w:type="paragraph" w:styleId="Heading1">
    <w:name w:val="heading 1"/>
    <w:basedOn w:val="Normal"/>
    <w:next w:val="Normal"/>
    <w:link w:val="Heading1Char"/>
    <w:uiPriority w:val="9"/>
    <w:qFormat/>
    <w:rsid w:val="004E7807"/>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7807"/>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7807"/>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584B"/>
    <w:rPr>
      <w:color w:val="0563C1" w:themeColor="hyperlink"/>
      <w:u w:val="single"/>
    </w:rPr>
  </w:style>
  <w:style w:type="character" w:styleId="UnresolvedMention">
    <w:name w:val="Unresolved Mention"/>
    <w:basedOn w:val="DefaultParagraphFont"/>
    <w:uiPriority w:val="99"/>
    <w:semiHidden/>
    <w:unhideWhenUsed/>
    <w:rsid w:val="00CE584B"/>
    <w:rPr>
      <w:color w:val="605E5C"/>
      <w:shd w:val="clear" w:color="auto" w:fill="E1DFDD"/>
    </w:rPr>
  </w:style>
  <w:style w:type="character" w:styleId="IntenseEmphasis">
    <w:name w:val="Intense Emphasis"/>
    <w:basedOn w:val="DefaultParagraphFont"/>
    <w:uiPriority w:val="21"/>
    <w:qFormat/>
    <w:rsid w:val="00CE584B"/>
    <w:rPr>
      <w:i/>
      <w:iCs/>
      <w:color w:val="4472C4" w:themeColor="accent1"/>
    </w:rPr>
  </w:style>
  <w:style w:type="paragraph" w:styleId="IntenseQuote">
    <w:name w:val="Intense Quote"/>
    <w:basedOn w:val="Normal"/>
    <w:next w:val="Normal"/>
    <w:link w:val="IntenseQuoteChar"/>
    <w:uiPriority w:val="30"/>
    <w:qFormat/>
    <w:rsid w:val="006E40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E405A"/>
    <w:rPr>
      <w:rFonts w:ascii="Calibri" w:hAnsi="Calibri" w:cs="Calibri"/>
      <w:i/>
      <w:iCs/>
      <w:color w:val="4472C4" w:themeColor="accent1"/>
    </w:rPr>
  </w:style>
  <w:style w:type="character" w:styleId="CommentReference">
    <w:name w:val="annotation reference"/>
    <w:basedOn w:val="DefaultParagraphFont"/>
    <w:uiPriority w:val="99"/>
    <w:semiHidden/>
    <w:unhideWhenUsed/>
    <w:rsid w:val="00A323D8"/>
    <w:rPr>
      <w:sz w:val="16"/>
      <w:szCs w:val="16"/>
    </w:rPr>
  </w:style>
  <w:style w:type="paragraph" w:styleId="CommentText">
    <w:name w:val="annotation text"/>
    <w:basedOn w:val="Normal"/>
    <w:link w:val="CommentTextChar"/>
    <w:uiPriority w:val="99"/>
    <w:semiHidden/>
    <w:unhideWhenUsed/>
    <w:rsid w:val="00A323D8"/>
    <w:rPr>
      <w:sz w:val="20"/>
      <w:szCs w:val="20"/>
    </w:rPr>
  </w:style>
  <w:style w:type="character" w:customStyle="1" w:styleId="CommentTextChar">
    <w:name w:val="Comment Text Char"/>
    <w:basedOn w:val="DefaultParagraphFont"/>
    <w:link w:val="CommentText"/>
    <w:uiPriority w:val="99"/>
    <w:semiHidden/>
    <w:rsid w:val="00A323D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23D8"/>
    <w:rPr>
      <w:b/>
      <w:bCs/>
    </w:rPr>
  </w:style>
  <w:style w:type="character" w:customStyle="1" w:styleId="CommentSubjectChar">
    <w:name w:val="Comment Subject Char"/>
    <w:basedOn w:val="CommentTextChar"/>
    <w:link w:val="CommentSubject"/>
    <w:uiPriority w:val="99"/>
    <w:semiHidden/>
    <w:rsid w:val="00A323D8"/>
    <w:rPr>
      <w:rFonts w:ascii="Calibri" w:hAnsi="Calibri" w:cs="Calibri"/>
      <w:b/>
      <w:bCs/>
      <w:sz w:val="20"/>
      <w:szCs w:val="20"/>
    </w:rPr>
  </w:style>
  <w:style w:type="paragraph" w:styleId="BalloonText">
    <w:name w:val="Balloon Text"/>
    <w:basedOn w:val="Normal"/>
    <w:link w:val="BalloonTextChar"/>
    <w:uiPriority w:val="99"/>
    <w:semiHidden/>
    <w:unhideWhenUsed/>
    <w:rsid w:val="00A32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3D8"/>
    <w:rPr>
      <w:rFonts w:ascii="Segoe UI" w:hAnsi="Segoe UI" w:cs="Segoe UI"/>
      <w:sz w:val="18"/>
      <w:szCs w:val="18"/>
    </w:rPr>
  </w:style>
  <w:style w:type="paragraph" w:customStyle="1" w:styleId="Default">
    <w:name w:val="Default"/>
    <w:rsid w:val="00DA021C"/>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7A2E8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A2E81"/>
  </w:style>
  <w:style w:type="character" w:customStyle="1" w:styleId="Heading1Char">
    <w:name w:val="Heading 1 Char"/>
    <w:basedOn w:val="DefaultParagraphFont"/>
    <w:link w:val="Heading1"/>
    <w:uiPriority w:val="9"/>
    <w:rsid w:val="004E78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780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E7807"/>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4E78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807"/>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4E780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200191">
      <w:bodyDiv w:val="1"/>
      <w:marLeft w:val="0"/>
      <w:marRight w:val="0"/>
      <w:marTop w:val="0"/>
      <w:marBottom w:val="0"/>
      <w:divBdr>
        <w:top w:val="none" w:sz="0" w:space="0" w:color="auto"/>
        <w:left w:val="none" w:sz="0" w:space="0" w:color="auto"/>
        <w:bottom w:val="none" w:sz="0" w:space="0" w:color="auto"/>
        <w:right w:val="none" w:sz="0" w:space="0" w:color="auto"/>
      </w:divBdr>
    </w:div>
    <w:div w:id="179694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rcs.usda.gov/wps/portal/nrcs/mn/technical/ecoscience/agronomy/nrcs142p2_023679/"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www.bwsr.state.mn.us/sites/default/files/2021-02/seedmix-substitution.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bwsr.state.mn.us/seed-mixe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xerces.org/publications/guidelines/interseeding-wildflowers-to-diversify-grasslands-for-pollin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AAAF9E-7C19-4A2D-B289-FAD496E8E4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51F99E-5D58-443F-9EA6-134E0371D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721B2B-41D5-4FD6-AC07-8CFB0E2F9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2292</Words>
  <Characters>13071</Characters>
  <Application>Microsoft Office Word</Application>
  <DocSecurity>0</DocSecurity>
  <Lines>108</Lines>
  <Paragraphs>30</Paragraphs>
  <ScaleCrop>false</ScaleCrop>
  <Company>State of MN</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Dan B (BWSR)</dc:creator>
  <cp:keywords/>
  <dc:description/>
  <cp:lastModifiedBy>Rost, Cecelia (She/Her/Hers) (BWSR)</cp:lastModifiedBy>
  <cp:revision>19</cp:revision>
  <dcterms:created xsi:type="dcterms:W3CDTF">2021-01-06T19:58:00Z</dcterms:created>
  <dcterms:modified xsi:type="dcterms:W3CDTF">2023-04-25T17:04:00Z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