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97E46" w:rsidR="00923887" w:rsidP="00923887" w:rsidRDefault="004D5AC0" w14:paraId="7BA00BAD" w14:textId="133121BE">
      <w:pPr>
        <w:rPr>
          <w:sz w:val="48"/>
          <w:szCs w:val="48"/>
        </w:rPr>
      </w:pPr>
      <w:r w:rsidRPr="004D5AC0">
        <w:rPr>
          <w:sz w:val="48"/>
          <w:szCs w:val="48"/>
        </w:rPr>
        <w:t xml:space="preserve">Mid Diversity Moist Buffer South &amp; West </w:t>
      </w:r>
      <w:r w:rsidRPr="004D5AC0">
        <w:rPr>
          <w:rFonts w:eastAsia="Times New Roman" w:asciiTheme="minorHAnsi" w:hAnsiTheme="minorHAnsi" w:cstheme="minorHAnsi"/>
          <w:color w:val="000000"/>
          <w:sz w:val="48"/>
          <w:szCs w:val="48"/>
        </w:rPr>
        <w:t>32-251</w:t>
      </w:r>
    </w:p>
    <w:p w:rsidR="00727424" w:rsidP="00923887" w:rsidRDefault="00727424" w14:paraId="212F8B6C" w14:textId="77777777"/>
    <w:p w:rsidR="00923887" w:rsidP="00923887" w:rsidRDefault="00923887" w14:paraId="45ECED53" w14:textId="2BB3862F">
      <w:r>
        <w:t>Updated: 2023</w:t>
      </w:r>
    </w:p>
    <w:p w:rsidR="00923887" w:rsidP="00923887" w:rsidRDefault="00923887" w14:paraId="2D595E33" w14:textId="40F7BF02">
      <w:r>
        <w:rPr>
          <w:rStyle w:val="normaltextrun"/>
        </w:rPr>
        <w:t xml:space="preserve">This </w:t>
      </w:r>
      <w:r w:rsidR="00BF0719">
        <w:rPr>
          <w:rStyle w:val="normaltextrun"/>
        </w:rPr>
        <w:t xml:space="preserve">riparian buffer </w:t>
      </w:r>
      <w:r>
        <w:rPr>
          <w:rStyle w:val="normaltextrun"/>
        </w:rPr>
        <w:t xml:space="preserve">mix has been designed for </w:t>
      </w:r>
      <w:r w:rsidR="00727424">
        <w:rPr>
          <w:rStyle w:val="normaltextrun"/>
        </w:rPr>
        <w:t xml:space="preserve">southern and western Minnesota </w:t>
      </w:r>
      <w:r>
        <w:rPr>
          <w:rStyle w:val="normaltextrun"/>
        </w:rPr>
        <w:t>a</w:t>
      </w:r>
      <w:r>
        <w:t>reas with m</w:t>
      </w:r>
      <w:r w:rsidR="00BF0719">
        <w:t>oist</w:t>
      </w:r>
      <w:r>
        <w:t xml:space="preserve"> soils and full sun for at least 70% of the day where </w:t>
      </w:r>
      <w:r w:rsidR="00BF0719">
        <w:t xml:space="preserve">there are goals for </w:t>
      </w:r>
      <w:r>
        <w:rPr>
          <w:rStyle w:val="normaltextrun"/>
        </w:rPr>
        <w:t>providing w</w:t>
      </w:r>
      <w:r>
        <w:t>ildlife habitat</w:t>
      </w:r>
      <w:r w:rsidR="00BF0719">
        <w:t xml:space="preserve">, </w:t>
      </w:r>
      <w:r>
        <w:t>soil stabilization</w:t>
      </w:r>
      <w:r w:rsidR="00BF0719">
        <w:t xml:space="preserve"> and </w:t>
      </w:r>
      <w:r>
        <w:t>water quality benefits.</w:t>
      </w:r>
    </w:p>
    <w:p w:rsidR="00923887" w:rsidP="00923887" w:rsidRDefault="00923887" w14:paraId="587F8439" w14:textId="77777777">
      <w:pPr>
        <w:pStyle w:val="paragraph"/>
        <w:spacing w:before="0" w:beforeAutospacing="0" w:after="0" w:afterAutospacing="0"/>
        <w:textAlignment w:val="baseline"/>
        <w:rPr>
          <w:rFonts w:ascii="Segoe UI" w:hAnsi="Segoe UI" w:cs="Segoe UI"/>
          <w:sz w:val="18"/>
          <w:szCs w:val="18"/>
        </w:rPr>
      </w:pPr>
      <w:r>
        <w:rPr>
          <w:noProof/>
        </w:rPr>
        <mc:AlternateContent>
          <mc:Choice Requires="wps">
            <w:drawing>
              <wp:anchor distT="45720" distB="45720" distL="114300" distR="114300" simplePos="0" relativeHeight="251659264" behindDoc="0" locked="0" layoutInCell="1" allowOverlap="1" wp14:anchorId="23AC7A74" wp14:editId="2AE26824">
                <wp:simplePos x="0" y="0"/>
                <wp:positionH relativeFrom="margin">
                  <wp:align>right</wp:align>
                </wp:positionH>
                <wp:positionV relativeFrom="paragraph">
                  <wp:posOffset>298450</wp:posOffset>
                </wp:positionV>
                <wp:extent cx="1310005" cy="556895"/>
                <wp:effectExtent l="0" t="0" r="444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556895"/>
                        </a:xfrm>
                        <a:prstGeom prst="rect">
                          <a:avLst/>
                        </a:prstGeom>
                        <a:solidFill>
                          <a:srgbClr val="FFFFFF"/>
                        </a:solidFill>
                        <a:ln w="9525">
                          <a:noFill/>
                          <a:miter lim="800000"/>
                          <a:headEnd/>
                          <a:tailEnd/>
                        </a:ln>
                      </wps:spPr>
                      <wps:txbx>
                        <w:txbxContent>
                          <w:p w:rsidR="00923887" w:rsidP="00923887" w:rsidRDefault="00923887" w14:paraId="1C4C239A" w14:textId="77777777">
                            <w:r>
                              <w:rPr>
                                <w:noProof/>
                              </w:rPr>
                              <w:drawing>
                                <wp:inline distT="0" distB="0" distL="0" distR="0" wp14:anchorId="540DA6D5" wp14:editId="2AC6208F">
                                  <wp:extent cx="1123950" cy="514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3AC7A74">
                <v:stroke joinstyle="miter"/>
                <v:path gradientshapeok="t" o:connecttype="rect"/>
              </v:shapetype>
              <v:shape id="Text Box 2" style="position:absolute;margin-left:51.95pt;margin-top:23.5pt;width:103.15pt;height:43.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">
                <v:textbox>
                  <w:txbxContent>
                    <w:p w:rsidR="00923887" w:rsidP="00923887" w:rsidRDefault="00923887" w14:paraId="1C4C239A" w14:textId="77777777">
                      <w:r>
                        <w:rPr>
                          <w:noProof/>
                        </w:rPr>
                        <w:drawing>
                          <wp:inline distT="0" distB="0" distL="0" distR="0" wp14:anchorId="540DA6D5" wp14:editId="2AC6208F">
                            <wp:extent cx="1123950" cy="514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txbxContent>
                </v:textbox>
                <w10:wrap type="square" anchorx="margin"/>
              </v:shape>
            </w:pict>
          </mc:Fallback>
        </mc:AlternateContent>
      </w:r>
    </w:p>
    <w:p w:rsidR="00923887" w:rsidP="00923887" w:rsidRDefault="00923887" w14:paraId="2F00534D" w14:textId="77777777">
      <w:pPr>
        <w:rPr>
          <w:noProof/>
        </w:rPr>
      </w:pPr>
      <w:r>
        <w:rPr>
          <w:noProof/>
        </w:rPr>
        <w:t xml:space="preserve">    </w:t>
      </w:r>
    </w:p>
    <w:p w:rsidR="00923887" w:rsidP="00923887" w:rsidRDefault="00923887" w14:paraId="3A888D96" w14:textId="167BD355">
      <w:pPr>
        <w:ind w:right="-540"/>
      </w:pPr>
      <w:r>
        <w:rPr>
          <w:noProof/>
        </w:rPr>
        <mc:AlternateContent>
          <mc:Choice Requires="wps">
            <w:drawing>
              <wp:anchor distT="45720" distB="45720" distL="114300" distR="114300" simplePos="0" relativeHeight="251661312" behindDoc="0" locked="0" layoutInCell="1" allowOverlap="1" wp14:anchorId="4AC2092A" wp14:editId="10E6732B">
                <wp:simplePos x="0" y="0"/>
                <wp:positionH relativeFrom="column">
                  <wp:posOffset>2169160</wp:posOffset>
                </wp:positionH>
                <wp:positionV relativeFrom="paragraph">
                  <wp:posOffset>17780</wp:posOffset>
                </wp:positionV>
                <wp:extent cx="2360930" cy="444500"/>
                <wp:effectExtent l="0" t="0" r="381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4500"/>
                        </a:xfrm>
                        <a:prstGeom prst="rect">
                          <a:avLst/>
                        </a:prstGeom>
                        <a:solidFill>
                          <a:srgbClr val="FFFFFF"/>
                        </a:solidFill>
                        <a:ln w="9525">
                          <a:noFill/>
                          <a:miter lim="800000"/>
                          <a:headEnd/>
                          <a:tailEnd/>
                        </a:ln>
                      </wps:spPr>
                      <wps:txbx>
                        <w:txbxContent>
                          <w:p w:rsidR="00923887" w:rsidP="00923887" w:rsidRDefault="00923887" w14:paraId="0DDBC600" w14:textId="77777777">
                            <w:r>
                              <w:rPr>
                                <w:noProof/>
                              </w:rPr>
                              <w:drawing>
                                <wp:inline distT="0" distB="0" distL="0" distR="0" wp14:anchorId="2D471FCA" wp14:editId="1C9B471A">
                                  <wp:extent cx="2162810" cy="38058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style="position:absolute;margin-left:170.8pt;margin-top:1.4pt;width:185.9pt;height:3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" w14:anchorId="4AC2092A">
                <v:textbox>
                  <w:txbxContent>
                    <w:p w:rsidR="00923887" w:rsidP="00923887" w:rsidRDefault="00923887" w14:paraId="0DDBC600" w14:textId="77777777">
                      <w:r>
                        <w:rPr>
                          <w:noProof/>
                        </w:rPr>
                        <w:drawing>
                          <wp:inline distT="0" distB="0" distL="0" distR="0" wp14:anchorId="2D471FCA" wp14:editId="1C9B471A">
                            <wp:extent cx="2162810" cy="38058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73DCE31A" wp14:editId="7C015C45">
                <wp:simplePos x="0" y="0"/>
                <wp:positionH relativeFrom="margin">
                  <wp:align>left</wp:align>
                </wp:positionH>
                <wp:positionV relativeFrom="paragraph">
                  <wp:posOffset>9525</wp:posOffset>
                </wp:positionV>
                <wp:extent cx="2219960" cy="381000"/>
                <wp:effectExtent l="0" t="0" r="889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960" cy="381000"/>
                        </a:xfrm>
                        <a:prstGeom prst="rect">
                          <a:avLst/>
                        </a:prstGeom>
                        <a:solidFill>
                          <a:srgbClr val="FFFFFF"/>
                        </a:solidFill>
                        <a:ln w="9525">
                          <a:noFill/>
                          <a:miter lim="800000"/>
                          <a:headEnd/>
                          <a:tailEnd/>
                        </a:ln>
                      </wps:spPr>
                      <wps:txbx>
                        <w:txbxContent>
                          <w:p w:rsidR="00923887" w:rsidP="00923887" w:rsidRDefault="00923887" w14:paraId="0C036533" w14:textId="77777777">
                            <w:r>
                              <w:rPr>
                                <w:noProof/>
                              </w:rPr>
                              <w:drawing>
                                <wp:inline distT="0" distB="0" distL="0" distR="0" wp14:anchorId="41044550" wp14:editId="5BE3E2CE">
                                  <wp:extent cx="1933575" cy="3524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1933575" cy="3524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75pt;width:174.8pt;height:30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" w14:anchorId="73DCE31A">
                <v:textbox>
                  <w:txbxContent>
                    <w:p w:rsidR="00923887" w:rsidP="00923887" w:rsidRDefault="00923887" w14:paraId="0C036533" w14:textId="77777777">
                      <w:r>
                        <w:rPr>
                          <w:noProof/>
                        </w:rPr>
                        <w:drawing>
                          <wp:inline distT="0" distB="0" distL="0" distR="0" wp14:anchorId="41044550" wp14:editId="5BE3E2CE">
                            <wp:extent cx="1933575" cy="3524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1933575" cy="352425"/>
                                    </a:xfrm>
                                    <a:prstGeom prst="rect">
                                      <a:avLst/>
                                    </a:prstGeom>
                                  </pic:spPr>
                                </pic:pic>
                              </a:graphicData>
                            </a:graphic>
                          </wp:inline>
                        </w:drawing>
                      </w:r>
                    </w:p>
                  </w:txbxContent>
                </v:textbox>
                <w10:wrap type="square" anchorx="margin"/>
              </v:shape>
            </w:pict>
          </mc:Fallback>
        </mc:AlternateContent>
      </w:r>
      <w:r w:rsidR="00923887">
        <w:rPr/>
        <w:t>Partners also include collaboration among Non-profits, Seed vendors, SWCD, Tribal Governments, Consultants, County and Cities. (</w:t>
      </w:r>
      <w:r w:rsidR="00597E46">
        <w:rPr/>
        <w:t>See</w:t>
      </w:r>
      <w:r w:rsidR="00923887">
        <w:rPr/>
        <w:t xml:space="preserve"> </w:t>
      </w:r>
      <w:r w:rsidR="00597E46">
        <w:rPr/>
        <w:t>partner</w:t>
      </w:r>
      <w:r w:rsidR="00923887">
        <w:rPr/>
        <w:t xml:space="preserve"> list on </w:t>
      </w:r>
      <w:hyperlink w:history="1" r:id="Ra31b82c2e6854425">
        <w:r w:rsidR="00923887">
          <w:rPr>
            <w:rStyle w:val="Hyperlink"/>
          </w:rPr>
          <w:t>website</w:t>
        </w:r>
      </w:hyperlink>
      <w:r w:rsidR="00923887">
        <w:rPr/>
        <w:t>)</w:t>
      </w:r>
    </w:p>
    <w:p w:rsidR="00D77EB6" w:rsidP="00923887" w:rsidRDefault="00D77EB6" w14:paraId="33107932" w14:textId="77777777">
      <w:pPr>
        <w:ind w:right="-540"/>
      </w:pPr>
    </w:p>
    <w:tbl>
      <w:tblPr>
        <w:tblW w:w="9310" w:type="dxa"/>
        <w:tblLook w:val="04A0" w:firstRow="1" w:lastRow="0" w:firstColumn="1" w:lastColumn="0" w:noHBand="0" w:noVBand="1"/>
      </w:tblPr>
      <w:tblGrid>
        <w:gridCol w:w="939"/>
        <w:gridCol w:w="2209"/>
        <w:gridCol w:w="2832"/>
        <w:gridCol w:w="717"/>
        <w:gridCol w:w="1006"/>
        <w:gridCol w:w="1106"/>
        <w:gridCol w:w="1106"/>
      </w:tblGrid>
      <w:tr w:rsidRPr="00D77EB6" w:rsidR="00D77EB6" w:rsidTr="00D77EB6" w14:paraId="19D635AF" w14:textId="77777777">
        <w:trPr>
          <w:trHeight w:val="255"/>
        </w:trPr>
        <w:tc>
          <w:tcPr>
            <w:tcW w:w="820" w:type="dxa"/>
            <w:tcBorders>
              <w:top w:val="nil"/>
              <w:left w:val="nil"/>
              <w:bottom w:val="nil"/>
              <w:right w:val="nil"/>
            </w:tcBorders>
            <w:shd w:val="clear" w:color="auto" w:fill="auto"/>
            <w:noWrap/>
            <w:vAlign w:val="bottom"/>
            <w:hideMark/>
          </w:tcPr>
          <w:p w:rsidRPr="00D77EB6" w:rsidR="00D77EB6" w:rsidP="00D77EB6" w:rsidRDefault="00D77EB6" w14:paraId="734B87C6" w14:textId="77777777">
            <w:pPr>
              <w:rPr>
                <w:rFonts w:ascii="Times New Roman" w:hAnsi="Times New Roman" w:eastAsia="Times New Roman" w:cs="Times New Roman"/>
                <w:sz w:val="24"/>
                <w:szCs w:val="24"/>
              </w:rPr>
            </w:pPr>
            <w:bookmarkStart w:name="RANGE!A1" w:id="0"/>
            <w:bookmarkEnd w:id="0"/>
          </w:p>
        </w:tc>
        <w:tc>
          <w:tcPr>
            <w:tcW w:w="2209" w:type="dxa"/>
            <w:tcBorders>
              <w:top w:val="nil"/>
              <w:left w:val="nil"/>
              <w:bottom w:val="nil"/>
              <w:right w:val="nil"/>
            </w:tcBorders>
            <w:shd w:val="clear" w:color="auto" w:fill="auto"/>
            <w:noWrap/>
            <w:vAlign w:val="bottom"/>
            <w:hideMark/>
          </w:tcPr>
          <w:p w:rsidRPr="00D77EB6" w:rsidR="00D77EB6" w:rsidP="00D77EB6" w:rsidRDefault="00D77EB6" w14:paraId="33A4BE07" w14:textId="77777777">
            <w:pPr>
              <w:rPr>
                <w:rFonts w:ascii="Arial" w:hAnsi="Arial" w:eastAsia="Times New Roman" w:cs="Arial"/>
                <w:b/>
                <w:bCs/>
                <w:color w:val="000000"/>
                <w:sz w:val="20"/>
                <w:szCs w:val="20"/>
              </w:rPr>
            </w:pPr>
            <w:bookmarkStart w:name="RANGE!B1:G34" w:id="1"/>
            <w:r w:rsidRPr="00D77EB6">
              <w:rPr>
                <w:rFonts w:ascii="Arial" w:hAnsi="Arial" w:eastAsia="Times New Roman" w:cs="Arial"/>
                <w:b/>
                <w:bCs/>
                <w:color w:val="000000"/>
                <w:sz w:val="20"/>
                <w:szCs w:val="20"/>
              </w:rPr>
              <w:t>32-251</w:t>
            </w:r>
            <w:bookmarkEnd w:id="1"/>
          </w:p>
        </w:tc>
        <w:tc>
          <w:tcPr>
            <w:tcW w:w="4401" w:type="dxa"/>
            <w:gridSpan w:val="3"/>
            <w:tcBorders>
              <w:top w:val="nil"/>
              <w:left w:val="nil"/>
              <w:bottom w:val="nil"/>
              <w:right w:val="nil"/>
            </w:tcBorders>
            <w:shd w:val="clear" w:color="auto" w:fill="auto"/>
            <w:noWrap/>
            <w:vAlign w:val="bottom"/>
            <w:hideMark/>
          </w:tcPr>
          <w:p w:rsidRPr="00D77EB6" w:rsidR="00D77EB6" w:rsidP="00D77EB6" w:rsidRDefault="00D77EB6" w14:paraId="521AD933" w14:textId="77777777">
            <w:pPr>
              <w:rPr>
                <w:rFonts w:ascii="Arial" w:hAnsi="Arial" w:eastAsia="Times New Roman" w:cs="Arial"/>
                <w:b/>
                <w:bCs/>
                <w:color w:val="000000"/>
                <w:sz w:val="20"/>
                <w:szCs w:val="20"/>
              </w:rPr>
            </w:pPr>
            <w:r w:rsidRPr="00D77EB6">
              <w:rPr>
                <w:rFonts w:ascii="Arial" w:hAnsi="Arial" w:eastAsia="Times New Roman" w:cs="Arial"/>
                <w:b/>
                <w:bCs/>
                <w:color w:val="000000"/>
                <w:sz w:val="20"/>
                <w:szCs w:val="20"/>
              </w:rPr>
              <w:t>Mid Diversity Moist Buffer South &amp; West Mix</w:t>
            </w:r>
          </w:p>
        </w:tc>
        <w:tc>
          <w:tcPr>
            <w:tcW w:w="920" w:type="dxa"/>
            <w:tcBorders>
              <w:top w:val="nil"/>
              <w:left w:val="nil"/>
              <w:bottom w:val="nil"/>
              <w:right w:val="nil"/>
            </w:tcBorders>
            <w:shd w:val="clear" w:color="auto" w:fill="auto"/>
            <w:noWrap/>
            <w:vAlign w:val="bottom"/>
            <w:hideMark/>
          </w:tcPr>
          <w:p w:rsidRPr="00D77EB6" w:rsidR="00D77EB6" w:rsidP="00D77EB6" w:rsidRDefault="00D77EB6" w14:paraId="6B0B5E61" w14:textId="77777777">
            <w:pPr>
              <w:rPr>
                <w:rFonts w:ascii="Arial" w:hAnsi="Arial" w:eastAsia="Times New Roman" w:cs="Arial"/>
                <w:b/>
                <w:bCs/>
                <w:color w:val="000000"/>
                <w:sz w:val="20"/>
                <w:szCs w:val="20"/>
              </w:rPr>
            </w:pPr>
          </w:p>
        </w:tc>
        <w:tc>
          <w:tcPr>
            <w:tcW w:w="960" w:type="dxa"/>
            <w:tcBorders>
              <w:top w:val="nil"/>
              <w:left w:val="nil"/>
              <w:bottom w:val="nil"/>
              <w:right w:val="nil"/>
            </w:tcBorders>
            <w:shd w:val="clear" w:color="auto" w:fill="auto"/>
            <w:noWrap/>
            <w:vAlign w:val="bottom"/>
            <w:hideMark/>
          </w:tcPr>
          <w:p w:rsidRPr="00D77EB6" w:rsidR="00D77EB6" w:rsidP="00D77EB6" w:rsidRDefault="00D77EB6" w14:paraId="2E309BD0" w14:textId="77777777">
            <w:pPr>
              <w:jc w:val="center"/>
              <w:rPr>
                <w:rFonts w:ascii="Times New Roman" w:hAnsi="Times New Roman" w:eastAsia="Times New Roman" w:cs="Times New Roman"/>
                <w:sz w:val="20"/>
                <w:szCs w:val="20"/>
              </w:rPr>
            </w:pPr>
          </w:p>
        </w:tc>
      </w:tr>
      <w:tr w:rsidRPr="00D77EB6" w:rsidR="00D77EB6" w:rsidTr="00D77EB6" w14:paraId="5113B817" w14:textId="77777777">
        <w:trPr>
          <w:trHeight w:val="510"/>
        </w:trPr>
        <w:tc>
          <w:tcPr>
            <w:tcW w:w="820" w:type="dxa"/>
            <w:tcBorders>
              <w:top w:val="single" w:color="auto" w:sz="4" w:space="0"/>
              <w:left w:val="single" w:color="auto" w:sz="4" w:space="0"/>
              <w:bottom w:val="single" w:color="auto" w:sz="4" w:space="0"/>
              <w:right w:val="single" w:color="auto" w:sz="4" w:space="0"/>
            </w:tcBorders>
            <w:shd w:val="clear" w:color="000000" w:fill="9BC2E6"/>
            <w:noWrap/>
            <w:vAlign w:val="bottom"/>
            <w:hideMark/>
          </w:tcPr>
          <w:p w:rsidRPr="00D77EB6" w:rsidR="00D77EB6" w:rsidP="00D77EB6" w:rsidRDefault="00D77EB6" w14:paraId="49D63A1D" w14:textId="77777777">
            <w:pPr>
              <w:rPr>
                <w:rFonts w:ascii="Arial" w:hAnsi="Arial" w:eastAsia="Times New Roman" w:cs="Arial"/>
                <w:b/>
                <w:bCs/>
                <w:color w:val="000000"/>
                <w:sz w:val="20"/>
                <w:szCs w:val="20"/>
              </w:rPr>
            </w:pPr>
            <w:r w:rsidRPr="00D77EB6">
              <w:rPr>
                <w:rFonts w:ascii="Arial" w:hAnsi="Arial" w:eastAsia="Times New Roman" w:cs="Arial"/>
                <w:b/>
                <w:bCs/>
                <w:color w:val="000000"/>
                <w:sz w:val="20"/>
                <w:szCs w:val="20"/>
              </w:rPr>
              <w:t>Code</w:t>
            </w:r>
          </w:p>
        </w:tc>
        <w:tc>
          <w:tcPr>
            <w:tcW w:w="2209" w:type="dxa"/>
            <w:tcBorders>
              <w:top w:val="single" w:color="auto" w:sz="4" w:space="0"/>
              <w:left w:val="nil"/>
              <w:bottom w:val="single" w:color="auto" w:sz="4" w:space="0"/>
              <w:right w:val="single" w:color="auto" w:sz="4" w:space="0"/>
            </w:tcBorders>
            <w:shd w:val="clear" w:color="000000" w:fill="9BC2E6"/>
            <w:vAlign w:val="bottom"/>
            <w:hideMark/>
          </w:tcPr>
          <w:p w:rsidRPr="00D77EB6" w:rsidR="00D77EB6" w:rsidP="00D77EB6" w:rsidRDefault="00D77EB6" w14:paraId="3A804593" w14:textId="77777777">
            <w:pPr>
              <w:jc w:val="center"/>
              <w:rPr>
                <w:rFonts w:ascii="Arial" w:hAnsi="Arial" w:eastAsia="Times New Roman" w:cs="Arial"/>
                <w:b/>
                <w:bCs/>
                <w:sz w:val="20"/>
                <w:szCs w:val="20"/>
              </w:rPr>
            </w:pPr>
            <w:r w:rsidRPr="00D77EB6">
              <w:rPr>
                <w:rFonts w:ascii="Arial" w:hAnsi="Arial" w:eastAsia="Times New Roman" w:cs="Arial"/>
                <w:b/>
                <w:bCs/>
                <w:sz w:val="20"/>
                <w:szCs w:val="20"/>
              </w:rPr>
              <w:t>Common Name</w:t>
            </w:r>
          </w:p>
        </w:tc>
        <w:tc>
          <w:tcPr>
            <w:tcW w:w="2832" w:type="dxa"/>
            <w:tcBorders>
              <w:top w:val="single" w:color="auto" w:sz="4" w:space="0"/>
              <w:left w:val="nil"/>
              <w:bottom w:val="single" w:color="auto" w:sz="4" w:space="0"/>
              <w:right w:val="single" w:color="auto" w:sz="4" w:space="0"/>
            </w:tcBorders>
            <w:shd w:val="clear" w:color="000000" w:fill="9BC2E6"/>
            <w:vAlign w:val="bottom"/>
            <w:hideMark/>
          </w:tcPr>
          <w:p w:rsidRPr="00D77EB6" w:rsidR="00D77EB6" w:rsidP="00D77EB6" w:rsidRDefault="00D77EB6" w14:paraId="65F9E67A" w14:textId="77777777">
            <w:pPr>
              <w:jc w:val="center"/>
              <w:rPr>
                <w:rFonts w:ascii="Arial" w:hAnsi="Arial" w:eastAsia="Times New Roman" w:cs="Arial"/>
                <w:b/>
                <w:bCs/>
                <w:sz w:val="20"/>
                <w:szCs w:val="20"/>
              </w:rPr>
            </w:pPr>
            <w:r w:rsidRPr="00D77EB6">
              <w:rPr>
                <w:rFonts w:ascii="Arial" w:hAnsi="Arial" w:eastAsia="Times New Roman" w:cs="Arial"/>
                <w:b/>
                <w:bCs/>
                <w:sz w:val="20"/>
                <w:szCs w:val="20"/>
              </w:rPr>
              <w:t>Scientific Name</w:t>
            </w:r>
          </w:p>
        </w:tc>
        <w:tc>
          <w:tcPr>
            <w:tcW w:w="644" w:type="dxa"/>
            <w:tcBorders>
              <w:top w:val="single" w:color="auto" w:sz="4" w:space="0"/>
              <w:left w:val="nil"/>
              <w:bottom w:val="single" w:color="auto" w:sz="4" w:space="0"/>
              <w:right w:val="single" w:color="auto" w:sz="4" w:space="0"/>
            </w:tcBorders>
            <w:shd w:val="clear" w:color="000000" w:fill="9BC2E6"/>
            <w:vAlign w:val="bottom"/>
            <w:hideMark/>
          </w:tcPr>
          <w:p w:rsidRPr="00D77EB6" w:rsidR="00D77EB6" w:rsidP="00D77EB6" w:rsidRDefault="00D77EB6" w14:paraId="3F0BBA80" w14:textId="77777777">
            <w:pPr>
              <w:jc w:val="center"/>
              <w:rPr>
                <w:rFonts w:ascii="Arial" w:hAnsi="Arial" w:eastAsia="Times New Roman" w:cs="Arial"/>
                <w:b/>
                <w:bCs/>
                <w:sz w:val="20"/>
                <w:szCs w:val="20"/>
              </w:rPr>
            </w:pPr>
            <w:r w:rsidRPr="00D77EB6">
              <w:rPr>
                <w:rFonts w:ascii="Arial" w:hAnsi="Arial" w:eastAsia="Times New Roman" w:cs="Arial"/>
                <w:b/>
                <w:bCs/>
                <w:sz w:val="20"/>
                <w:szCs w:val="20"/>
              </w:rPr>
              <w:t>PLS lb/ac</w:t>
            </w:r>
          </w:p>
        </w:tc>
        <w:tc>
          <w:tcPr>
            <w:tcW w:w="925" w:type="dxa"/>
            <w:tcBorders>
              <w:top w:val="single" w:color="auto" w:sz="4" w:space="0"/>
              <w:left w:val="nil"/>
              <w:bottom w:val="single" w:color="auto" w:sz="4" w:space="0"/>
              <w:right w:val="single" w:color="auto" w:sz="4" w:space="0"/>
            </w:tcBorders>
            <w:shd w:val="clear" w:color="000000" w:fill="9BC2E6"/>
            <w:vAlign w:val="bottom"/>
            <w:hideMark/>
          </w:tcPr>
          <w:p w:rsidRPr="00D77EB6" w:rsidR="00D77EB6" w:rsidP="00D77EB6" w:rsidRDefault="00D77EB6" w14:paraId="3FFE94B8" w14:textId="77777777">
            <w:pPr>
              <w:jc w:val="center"/>
              <w:rPr>
                <w:rFonts w:ascii="Arial" w:hAnsi="Arial" w:eastAsia="Times New Roman" w:cs="Arial"/>
                <w:b/>
                <w:bCs/>
                <w:color w:val="000000"/>
                <w:sz w:val="20"/>
                <w:szCs w:val="20"/>
              </w:rPr>
            </w:pPr>
            <w:r w:rsidRPr="00D77EB6">
              <w:rPr>
                <w:rFonts w:ascii="Arial" w:hAnsi="Arial" w:eastAsia="Times New Roman" w:cs="Arial"/>
                <w:b/>
                <w:bCs/>
                <w:color w:val="000000"/>
                <w:sz w:val="20"/>
                <w:szCs w:val="20"/>
              </w:rPr>
              <w:t>% by PLS lb/ac</w:t>
            </w:r>
          </w:p>
        </w:tc>
        <w:tc>
          <w:tcPr>
            <w:tcW w:w="920" w:type="dxa"/>
            <w:tcBorders>
              <w:top w:val="single" w:color="auto" w:sz="4" w:space="0"/>
              <w:left w:val="nil"/>
              <w:bottom w:val="single" w:color="auto" w:sz="4" w:space="0"/>
              <w:right w:val="single" w:color="auto" w:sz="4" w:space="0"/>
            </w:tcBorders>
            <w:shd w:val="clear" w:color="000000" w:fill="9BC2E6"/>
            <w:vAlign w:val="bottom"/>
            <w:hideMark/>
          </w:tcPr>
          <w:p w:rsidRPr="00D77EB6" w:rsidR="00D77EB6" w:rsidP="00D77EB6" w:rsidRDefault="00D77EB6" w14:paraId="249C36FB" w14:textId="77777777">
            <w:pPr>
              <w:jc w:val="center"/>
              <w:rPr>
                <w:rFonts w:ascii="Arial" w:hAnsi="Arial" w:eastAsia="Times New Roman" w:cs="Arial"/>
                <w:b/>
                <w:bCs/>
                <w:sz w:val="20"/>
                <w:szCs w:val="20"/>
              </w:rPr>
            </w:pPr>
            <w:r w:rsidRPr="00D77EB6">
              <w:rPr>
                <w:rFonts w:ascii="Arial" w:hAnsi="Arial" w:eastAsia="Times New Roman" w:cs="Arial"/>
                <w:b/>
                <w:bCs/>
                <w:sz w:val="20"/>
                <w:szCs w:val="20"/>
              </w:rPr>
              <w:t>Seeds/ft2</w:t>
            </w:r>
          </w:p>
        </w:tc>
        <w:tc>
          <w:tcPr>
            <w:tcW w:w="960" w:type="dxa"/>
            <w:tcBorders>
              <w:top w:val="single" w:color="auto" w:sz="4" w:space="0"/>
              <w:left w:val="nil"/>
              <w:bottom w:val="single" w:color="auto" w:sz="4" w:space="0"/>
              <w:right w:val="single" w:color="auto" w:sz="4" w:space="0"/>
            </w:tcBorders>
            <w:shd w:val="clear" w:color="000000" w:fill="9BC2E6"/>
            <w:vAlign w:val="bottom"/>
            <w:hideMark/>
          </w:tcPr>
          <w:p w:rsidRPr="00D77EB6" w:rsidR="00D77EB6" w:rsidP="00D77EB6" w:rsidRDefault="00D77EB6" w14:paraId="17F5F063" w14:textId="77777777">
            <w:pPr>
              <w:jc w:val="center"/>
              <w:rPr>
                <w:rFonts w:ascii="Arial" w:hAnsi="Arial" w:eastAsia="Times New Roman" w:cs="Arial"/>
                <w:b/>
                <w:bCs/>
                <w:sz w:val="20"/>
                <w:szCs w:val="20"/>
              </w:rPr>
            </w:pPr>
            <w:r w:rsidRPr="00D77EB6">
              <w:rPr>
                <w:rFonts w:ascii="Arial" w:hAnsi="Arial" w:eastAsia="Times New Roman" w:cs="Arial"/>
                <w:b/>
                <w:bCs/>
                <w:sz w:val="20"/>
                <w:szCs w:val="20"/>
              </w:rPr>
              <w:t>% by Seeds/ft2</w:t>
            </w:r>
          </w:p>
        </w:tc>
      </w:tr>
      <w:tr w:rsidRPr="00D77EB6" w:rsidR="00D77EB6" w:rsidTr="00D77EB6" w14:paraId="4910D709"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77EB6" w:rsidR="00D77EB6" w:rsidP="00D77EB6" w:rsidRDefault="00D77EB6" w14:paraId="7C8A380C"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andger</w:t>
            </w:r>
          </w:p>
        </w:tc>
        <w:tc>
          <w:tcPr>
            <w:tcW w:w="2209"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5D952190"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Big Bluestem</w:t>
            </w:r>
          </w:p>
        </w:tc>
        <w:tc>
          <w:tcPr>
            <w:tcW w:w="2832" w:type="dxa"/>
            <w:tcBorders>
              <w:top w:val="nil"/>
              <w:left w:val="nil"/>
              <w:bottom w:val="single" w:color="auto" w:sz="4" w:space="0"/>
              <w:right w:val="single" w:color="auto" w:sz="4" w:space="0"/>
            </w:tcBorders>
            <w:shd w:val="clear" w:color="000000" w:fill="A9D08E"/>
            <w:noWrap/>
            <w:vAlign w:val="bottom"/>
            <w:hideMark/>
          </w:tcPr>
          <w:p w:rsidRPr="00D77EB6" w:rsidR="00D77EB6" w:rsidP="00D77EB6" w:rsidRDefault="00D77EB6" w14:paraId="3D357F3C"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Andropogon gerardii</w:t>
            </w:r>
          </w:p>
        </w:tc>
        <w:tc>
          <w:tcPr>
            <w:tcW w:w="644"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485EE62E"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2.45</w:t>
            </w:r>
          </w:p>
        </w:tc>
        <w:tc>
          <w:tcPr>
            <w:tcW w:w="925"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7BB15430"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7.56%</w:t>
            </w:r>
          </w:p>
        </w:tc>
        <w:tc>
          <w:tcPr>
            <w:tcW w:w="92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5CF7C1B4"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9.00</w:t>
            </w:r>
          </w:p>
        </w:tc>
        <w:tc>
          <w:tcPr>
            <w:tcW w:w="96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27CEF16E"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10.00%</w:t>
            </w:r>
          </w:p>
        </w:tc>
      </w:tr>
      <w:tr w:rsidRPr="00D77EB6" w:rsidR="00D77EB6" w:rsidTr="00D77EB6" w14:paraId="51317B63"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77EB6" w:rsidR="00D77EB6" w:rsidP="00D77EB6" w:rsidRDefault="00D77EB6" w14:paraId="26165873"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calcan</w:t>
            </w:r>
          </w:p>
        </w:tc>
        <w:tc>
          <w:tcPr>
            <w:tcW w:w="2209"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424C07FF"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Bluejoint Grass</w:t>
            </w:r>
          </w:p>
        </w:tc>
        <w:tc>
          <w:tcPr>
            <w:tcW w:w="2832" w:type="dxa"/>
            <w:tcBorders>
              <w:top w:val="nil"/>
              <w:left w:val="nil"/>
              <w:bottom w:val="single" w:color="auto" w:sz="4" w:space="0"/>
              <w:right w:val="single" w:color="auto" w:sz="4" w:space="0"/>
            </w:tcBorders>
            <w:shd w:val="clear" w:color="000000" w:fill="A9D08E"/>
            <w:noWrap/>
            <w:vAlign w:val="bottom"/>
            <w:hideMark/>
          </w:tcPr>
          <w:p w:rsidRPr="00D77EB6" w:rsidR="00D77EB6" w:rsidP="00D77EB6" w:rsidRDefault="00D77EB6" w14:paraId="79DBA1C4"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Calamagrostis canadensis</w:t>
            </w:r>
          </w:p>
        </w:tc>
        <w:tc>
          <w:tcPr>
            <w:tcW w:w="644"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79D9DE20"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0.04</w:t>
            </w:r>
          </w:p>
        </w:tc>
        <w:tc>
          <w:tcPr>
            <w:tcW w:w="925"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362B70A1"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0.12%</w:t>
            </w:r>
          </w:p>
        </w:tc>
        <w:tc>
          <w:tcPr>
            <w:tcW w:w="92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3B8CA5D5"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4.11</w:t>
            </w:r>
          </w:p>
        </w:tc>
        <w:tc>
          <w:tcPr>
            <w:tcW w:w="96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1DC2B1F3"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4.57%</w:t>
            </w:r>
          </w:p>
        </w:tc>
      </w:tr>
      <w:tr w:rsidRPr="00D77EB6" w:rsidR="00D77EB6" w:rsidTr="00D77EB6" w14:paraId="1BD8EA3C"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77EB6" w:rsidR="00D77EB6" w:rsidP="00D77EB6" w:rsidRDefault="00D77EB6" w14:paraId="72576312"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elyvir</w:t>
            </w:r>
          </w:p>
        </w:tc>
        <w:tc>
          <w:tcPr>
            <w:tcW w:w="2209"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1D80AF23"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Virginia Wild Rye</w:t>
            </w:r>
          </w:p>
        </w:tc>
        <w:tc>
          <w:tcPr>
            <w:tcW w:w="2832" w:type="dxa"/>
            <w:tcBorders>
              <w:top w:val="nil"/>
              <w:left w:val="nil"/>
              <w:bottom w:val="single" w:color="auto" w:sz="4" w:space="0"/>
              <w:right w:val="single" w:color="auto" w:sz="4" w:space="0"/>
            </w:tcBorders>
            <w:shd w:val="clear" w:color="000000" w:fill="A9D08E"/>
            <w:noWrap/>
            <w:vAlign w:val="bottom"/>
            <w:hideMark/>
          </w:tcPr>
          <w:p w:rsidRPr="00D77EB6" w:rsidR="00D77EB6" w:rsidP="00D77EB6" w:rsidRDefault="00D77EB6" w14:paraId="6CCBA675"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Elymus virginicus</w:t>
            </w:r>
          </w:p>
        </w:tc>
        <w:tc>
          <w:tcPr>
            <w:tcW w:w="644"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5BBDC10D"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3.24</w:t>
            </w:r>
          </w:p>
        </w:tc>
        <w:tc>
          <w:tcPr>
            <w:tcW w:w="925"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19A3F4F4"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10.00%</w:t>
            </w:r>
          </w:p>
        </w:tc>
        <w:tc>
          <w:tcPr>
            <w:tcW w:w="92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41F8F754"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5.00</w:t>
            </w:r>
          </w:p>
        </w:tc>
        <w:tc>
          <w:tcPr>
            <w:tcW w:w="96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07351E52"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5.55%</w:t>
            </w:r>
          </w:p>
        </w:tc>
      </w:tr>
      <w:tr w:rsidRPr="00D77EB6" w:rsidR="00D77EB6" w:rsidTr="00D77EB6" w14:paraId="08A97D18"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77EB6" w:rsidR="00D77EB6" w:rsidP="00D77EB6" w:rsidRDefault="00D77EB6" w14:paraId="6B9ECD58"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glygra</w:t>
            </w:r>
          </w:p>
        </w:tc>
        <w:tc>
          <w:tcPr>
            <w:tcW w:w="2209"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4638A919"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American Manna Grass</w:t>
            </w:r>
          </w:p>
        </w:tc>
        <w:tc>
          <w:tcPr>
            <w:tcW w:w="2832" w:type="dxa"/>
            <w:tcBorders>
              <w:top w:val="nil"/>
              <w:left w:val="nil"/>
              <w:bottom w:val="single" w:color="auto" w:sz="4" w:space="0"/>
              <w:right w:val="single" w:color="auto" w:sz="4" w:space="0"/>
            </w:tcBorders>
            <w:shd w:val="clear" w:color="000000" w:fill="A9D08E"/>
            <w:noWrap/>
            <w:vAlign w:val="bottom"/>
            <w:hideMark/>
          </w:tcPr>
          <w:p w:rsidRPr="00D77EB6" w:rsidR="00D77EB6" w:rsidP="00D77EB6" w:rsidRDefault="00D77EB6" w14:paraId="06BBEEF0"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Glyceria grandis</w:t>
            </w:r>
          </w:p>
        </w:tc>
        <w:tc>
          <w:tcPr>
            <w:tcW w:w="644"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72CA3245"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0.25</w:t>
            </w:r>
          </w:p>
        </w:tc>
        <w:tc>
          <w:tcPr>
            <w:tcW w:w="925"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51F76D0A"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0.77%</w:t>
            </w:r>
          </w:p>
        </w:tc>
        <w:tc>
          <w:tcPr>
            <w:tcW w:w="92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1C1EE8BC"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6.43</w:t>
            </w:r>
          </w:p>
        </w:tc>
        <w:tc>
          <w:tcPr>
            <w:tcW w:w="96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68D32E70"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7.14%</w:t>
            </w:r>
          </w:p>
        </w:tc>
      </w:tr>
      <w:tr w:rsidRPr="00D77EB6" w:rsidR="00D77EB6" w:rsidTr="00D77EB6" w14:paraId="30CF3A73"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77EB6" w:rsidR="00D77EB6" w:rsidP="00D77EB6" w:rsidRDefault="00D77EB6" w14:paraId="6930C59A"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leeory</w:t>
            </w:r>
          </w:p>
        </w:tc>
        <w:tc>
          <w:tcPr>
            <w:tcW w:w="2209"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0F199484"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Rice Cut Grass</w:t>
            </w:r>
          </w:p>
        </w:tc>
        <w:tc>
          <w:tcPr>
            <w:tcW w:w="2832" w:type="dxa"/>
            <w:tcBorders>
              <w:top w:val="nil"/>
              <w:left w:val="nil"/>
              <w:bottom w:val="single" w:color="auto" w:sz="4" w:space="0"/>
              <w:right w:val="single" w:color="auto" w:sz="4" w:space="0"/>
            </w:tcBorders>
            <w:shd w:val="clear" w:color="000000" w:fill="A9D08E"/>
            <w:noWrap/>
            <w:vAlign w:val="bottom"/>
            <w:hideMark/>
          </w:tcPr>
          <w:p w:rsidRPr="00D77EB6" w:rsidR="00D77EB6" w:rsidP="00D77EB6" w:rsidRDefault="00D77EB6" w14:paraId="6363512F"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Leersia oryzoides</w:t>
            </w:r>
          </w:p>
        </w:tc>
        <w:tc>
          <w:tcPr>
            <w:tcW w:w="644"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742E71FB"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0.17</w:t>
            </w:r>
          </w:p>
        </w:tc>
        <w:tc>
          <w:tcPr>
            <w:tcW w:w="925"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34D79854"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0.52%</w:t>
            </w:r>
          </w:p>
        </w:tc>
        <w:tc>
          <w:tcPr>
            <w:tcW w:w="92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4DFBA8F4"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2.12</w:t>
            </w:r>
          </w:p>
        </w:tc>
        <w:tc>
          <w:tcPr>
            <w:tcW w:w="96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4A8D7BB2"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2.36%</w:t>
            </w:r>
          </w:p>
        </w:tc>
      </w:tr>
      <w:tr w:rsidRPr="00D77EB6" w:rsidR="00D77EB6" w:rsidTr="00D77EB6" w14:paraId="308EA3D6"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77EB6" w:rsidR="00D77EB6" w:rsidP="00D77EB6" w:rsidRDefault="00D77EB6" w14:paraId="19021F01"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poapal</w:t>
            </w:r>
          </w:p>
        </w:tc>
        <w:tc>
          <w:tcPr>
            <w:tcW w:w="2209"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016C18F2"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Fowl Bluegrass</w:t>
            </w:r>
          </w:p>
        </w:tc>
        <w:tc>
          <w:tcPr>
            <w:tcW w:w="2832" w:type="dxa"/>
            <w:tcBorders>
              <w:top w:val="nil"/>
              <w:left w:val="nil"/>
              <w:bottom w:val="single" w:color="auto" w:sz="4" w:space="0"/>
              <w:right w:val="single" w:color="auto" w:sz="4" w:space="0"/>
            </w:tcBorders>
            <w:shd w:val="clear" w:color="000000" w:fill="A9D08E"/>
            <w:noWrap/>
            <w:vAlign w:val="bottom"/>
            <w:hideMark/>
          </w:tcPr>
          <w:p w:rsidRPr="00D77EB6" w:rsidR="00D77EB6" w:rsidP="00D77EB6" w:rsidRDefault="00D77EB6" w14:paraId="2B05BC81"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Poa palustris</w:t>
            </w:r>
          </w:p>
        </w:tc>
        <w:tc>
          <w:tcPr>
            <w:tcW w:w="644"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161D6A5F"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0.29</w:t>
            </w:r>
          </w:p>
        </w:tc>
        <w:tc>
          <w:tcPr>
            <w:tcW w:w="925"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018684C3"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0.90%</w:t>
            </w:r>
          </w:p>
        </w:tc>
        <w:tc>
          <w:tcPr>
            <w:tcW w:w="92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209FD830"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13.85</w:t>
            </w:r>
          </w:p>
        </w:tc>
        <w:tc>
          <w:tcPr>
            <w:tcW w:w="96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2F357322"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15.38%</w:t>
            </w:r>
          </w:p>
        </w:tc>
      </w:tr>
      <w:tr w:rsidRPr="00D77EB6" w:rsidR="00D77EB6" w:rsidTr="00D77EB6" w14:paraId="15ABBFDD"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77EB6" w:rsidR="00D77EB6" w:rsidP="00D77EB6" w:rsidRDefault="00D77EB6" w14:paraId="6B302354"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spapec</w:t>
            </w:r>
          </w:p>
        </w:tc>
        <w:tc>
          <w:tcPr>
            <w:tcW w:w="2209"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30C83E82"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Prairie Cord Grass</w:t>
            </w:r>
          </w:p>
        </w:tc>
        <w:tc>
          <w:tcPr>
            <w:tcW w:w="2832" w:type="dxa"/>
            <w:tcBorders>
              <w:top w:val="nil"/>
              <w:left w:val="nil"/>
              <w:bottom w:val="single" w:color="auto" w:sz="4" w:space="0"/>
              <w:right w:val="single" w:color="auto" w:sz="4" w:space="0"/>
            </w:tcBorders>
            <w:shd w:val="clear" w:color="000000" w:fill="A9D08E"/>
            <w:noWrap/>
            <w:vAlign w:val="bottom"/>
            <w:hideMark/>
          </w:tcPr>
          <w:p w:rsidRPr="00D77EB6" w:rsidR="00D77EB6" w:rsidP="00D77EB6" w:rsidRDefault="00D77EB6" w14:paraId="0D12D7C6"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Spartina pectinata</w:t>
            </w:r>
          </w:p>
        </w:tc>
        <w:tc>
          <w:tcPr>
            <w:tcW w:w="644"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26EC728A"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0.21</w:t>
            </w:r>
          </w:p>
        </w:tc>
        <w:tc>
          <w:tcPr>
            <w:tcW w:w="925"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57F2E708"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0.65%</w:t>
            </w:r>
          </w:p>
        </w:tc>
        <w:tc>
          <w:tcPr>
            <w:tcW w:w="92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1C960203"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0.51</w:t>
            </w:r>
          </w:p>
        </w:tc>
        <w:tc>
          <w:tcPr>
            <w:tcW w:w="96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41D7FA57"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0.57%</w:t>
            </w:r>
          </w:p>
        </w:tc>
      </w:tr>
      <w:tr w:rsidRPr="00D77EB6" w:rsidR="00D77EB6" w:rsidTr="00D77EB6" w14:paraId="0D32D705" w14:textId="77777777">
        <w:trPr>
          <w:trHeight w:val="255"/>
        </w:trPr>
        <w:tc>
          <w:tcPr>
            <w:tcW w:w="820" w:type="dxa"/>
            <w:tcBorders>
              <w:top w:val="nil"/>
              <w:left w:val="single" w:color="auto" w:sz="4" w:space="0"/>
              <w:bottom w:val="single" w:color="auto" w:sz="4" w:space="0"/>
              <w:right w:val="single" w:color="auto" w:sz="4" w:space="0"/>
            </w:tcBorders>
            <w:shd w:val="clear" w:color="000000" w:fill="9BC2E6"/>
            <w:noWrap/>
            <w:vAlign w:val="bottom"/>
            <w:hideMark/>
          </w:tcPr>
          <w:p w:rsidRPr="00D77EB6" w:rsidR="00D77EB6" w:rsidP="00D77EB6" w:rsidRDefault="00D77EB6" w14:paraId="78EC361B" w14:textId="77777777">
            <w:pPr>
              <w:rPr>
                <w:rFonts w:ascii="Arial" w:hAnsi="Arial" w:eastAsia="Times New Roman" w:cs="Arial"/>
                <w:b/>
                <w:bCs/>
                <w:color w:val="000000"/>
                <w:sz w:val="20"/>
                <w:szCs w:val="20"/>
              </w:rPr>
            </w:pPr>
            <w:r w:rsidRPr="00D77EB6">
              <w:rPr>
                <w:rFonts w:ascii="Arial" w:hAnsi="Arial" w:eastAsia="Times New Roman" w:cs="Arial"/>
                <w:b/>
                <w:bCs/>
                <w:color w:val="000000"/>
                <w:sz w:val="20"/>
                <w:szCs w:val="20"/>
              </w:rPr>
              <w:t> </w:t>
            </w:r>
          </w:p>
        </w:tc>
        <w:tc>
          <w:tcPr>
            <w:tcW w:w="2209" w:type="dxa"/>
            <w:tcBorders>
              <w:top w:val="nil"/>
              <w:left w:val="nil"/>
              <w:bottom w:val="single" w:color="auto" w:sz="4" w:space="0"/>
              <w:right w:val="single" w:color="auto" w:sz="4" w:space="0"/>
            </w:tcBorders>
            <w:shd w:val="clear" w:color="000000" w:fill="9BC2E6"/>
            <w:noWrap/>
            <w:vAlign w:val="bottom"/>
            <w:hideMark/>
          </w:tcPr>
          <w:p w:rsidRPr="00D77EB6" w:rsidR="00D77EB6" w:rsidP="00D77EB6" w:rsidRDefault="00D77EB6" w14:paraId="18E4AC30" w14:textId="77777777">
            <w:pPr>
              <w:rPr>
                <w:rFonts w:ascii="Arial" w:hAnsi="Arial" w:eastAsia="Times New Roman" w:cs="Arial"/>
                <w:b/>
                <w:bCs/>
                <w:color w:val="000000"/>
                <w:sz w:val="20"/>
                <w:szCs w:val="20"/>
              </w:rPr>
            </w:pPr>
            <w:r w:rsidRPr="00D77EB6">
              <w:rPr>
                <w:rFonts w:ascii="Arial" w:hAnsi="Arial" w:eastAsia="Times New Roman" w:cs="Arial"/>
                <w:b/>
                <w:bCs/>
                <w:color w:val="000000"/>
                <w:sz w:val="20"/>
                <w:szCs w:val="20"/>
              </w:rPr>
              <w:t> </w:t>
            </w:r>
          </w:p>
        </w:tc>
        <w:tc>
          <w:tcPr>
            <w:tcW w:w="2832" w:type="dxa"/>
            <w:tcBorders>
              <w:top w:val="nil"/>
              <w:left w:val="nil"/>
              <w:bottom w:val="single" w:color="auto" w:sz="4" w:space="0"/>
              <w:right w:val="single" w:color="auto" w:sz="4" w:space="0"/>
            </w:tcBorders>
            <w:shd w:val="clear" w:color="000000" w:fill="9BC2E6"/>
            <w:noWrap/>
            <w:vAlign w:val="bottom"/>
            <w:hideMark/>
          </w:tcPr>
          <w:p w:rsidRPr="00D77EB6" w:rsidR="00D77EB6" w:rsidP="00D77EB6" w:rsidRDefault="00D77EB6" w14:paraId="17AE6304" w14:textId="77777777">
            <w:pPr>
              <w:rPr>
                <w:rFonts w:ascii="Arial" w:hAnsi="Arial" w:eastAsia="Times New Roman" w:cs="Arial"/>
                <w:b/>
                <w:bCs/>
                <w:color w:val="000000"/>
                <w:sz w:val="20"/>
                <w:szCs w:val="20"/>
              </w:rPr>
            </w:pPr>
            <w:r w:rsidRPr="00D77EB6">
              <w:rPr>
                <w:rFonts w:ascii="Arial" w:hAnsi="Arial" w:eastAsia="Times New Roman" w:cs="Arial"/>
                <w:b/>
                <w:bCs/>
                <w:color w:val="000000"/>
                <w:sz w:val="20"/>
                <w:szCs w:val="20"/>
              </w:rPr>
              <w:t>Grasses Subtotal</w:t>
            </w:r>
          </w:p>
        </w:tc>
        <w:tc>
          <w:tcPr>
            <w:tcW w:w="644" w:type="dxa"/>
            <w:tcBorders>
              <w:top w:val="nil"/>
              <w:left w:val="nil"/>
              <w:bottom w:val="single" w:color="auto" w:sz="4" w:space="0"/>
              <w:right w:val="single" w:color="auto" w:sz="4" w:space="0"/>
            </w:tcBorders>
            <w:shd w:val="clear" w:color="000000" w:fill="9BC2E6"/>
            <w:noWrap/>
            <w:vAlign w:val="bottom"/>
            <w:hideMark/>
          </w:tcPr>
          <w:p w:rsidRPr="00D77EB6" w:rsidR="00D77EB6" w:rsidP="00D77EB6" w:rsidRDefault="00D77EB6" w14:paraId="18193F10" w14:textId="77777777">
            <w:pPr>
              <w:jc w:val="right"/>
              <w:rPr>
                <w:rFonts w:ascii="Arial" w:hAnsi="Arial" w:eastAsia="Times New Roman" w:cs="Arial"/>
                <w:b/>
                <w:bCs/>
                <w:color w:val="000000"/>
                <w:sz w:val="20"/>
                <w:szCs w:val="20"/>
              </w:rPr>
            </w:pPr>
            <w:r w:rsidRPr="00D77EB6">
              <w:rPr>
                <w:rFonts w:ascii="Arial" w:hAnsi="Arial" w:eastAsia="Times New Roman" w:cs="Arial"/>
                <w:b/>
                <w:bCs/>
                <w:color w:val="000000"/>
                <w:sz w:val="20"/>
                <w:szCs w:val="20"/>
              </w:rPr>
              <w:t>6.65</w:t>
            </w:r>
          </w:p>
        </w:tc>
        <w:tc>
          <w:tcPr>
            <w:tcW w:w="925" w:type="dxa"/>
            <w:tcBorders>
              <w:top w:val="nil"/>
              <w:left w:val="nil"/>
              <w:bottom w:val="single" w:color="auto" w:sz="4" w:space="0"/>
              <w:right w:val="single" w:color="auto" w:sz="4" w:space="0"/>
            </w:tcBorders>
            <w:shd w:val="clear" w:color="000000" w:fill="9BC2E6"/>
            <w:noWrap/>
            <w:vAlign w:val="bottom"/>
            <w:hideMark/>
          </w:tcPr>
          <w:p w:rsidRPr="00D77EB6" w:rsidR="00D77EB6" w:rsidP="00D77EB6" w:rsidRDefault="00D77EB6" w14:paraId="1B94FB8B" w14:textId="77777777">
            <w:pPr>
              <w:jc w:val="right"/>
              <w:rPr>
                <w:rFonts w:ascii="Arial" w:hAnsi="Arial" w:eastAsia="Times New Roman" w:cs="Arial"/>
                <w:b/>
                <w:bCs/>
                <w:color w:val="000000"/>
                <w:sz w:val="20"/>
                <w:szCs w:val="20"/>
              </w:rPr>
            </w:pPr>
            <w:r w:rsidRPr="00D77EB6">
              <w:rPr>
                <w:rFonts w:ascii="Arial" w:hAnsi="Arial" w:eastAsia="Times New Roman" w:cs="Arial"/>
                <w:b/>
                <w:bCs/>
                <w:color w:val="000000"/>
                <w:sz w:val="20"/>
                <w:szCs w:val="20"/>
              </w:rPr>
              <w:t>20.52%</w:t>
            </w:r>
          </w:p>
        </w:tc>
        <w:tc>
          <w:tcPr>
            <w:tcW w:w="920" w:type="dxa"/>
            <w:tcBorders>
              <w:top w:val="nil"/>
              <w:left w:val="nil"/>
              <w:bottom w:val="single" w:color="auto" w:sz="4" w:space="0"/>
              <w:right w:val="single" w:color="auto" w:sz="4" w:space="0"/>
            </w:tcBorders>
            <w:shd w:val="clear" w:color="000000" w:fill="9BC2E6"/>
            <w:noWrap/>
            <w:vAlign w:val="bottom"/>
            <w:hideMark/>
          </w:tcPr>
          <w:p w:rsidRPr="00D77EB6" w:rsidR="00D77EB6" w:rsidP="00D77EB6" w:rsidRDefault="00D77EB6" w14:paraId="3D82B5D9" w14:textId="77777777">
            <w:pPr>
              <w:jc w:val="right"/>
              <w:rPr>
                <w:rFonts w:ascii="Arial" w:hAnsi="Arial" w:eastAsia="Times New Roman" w:cs="Arial"/>
                <w:b/>
                <w:bCs/>
                <w:color w:val="000000"/>
                <w:sz w:val="20"/>
                <w:szCs w:val="20"/>
              </w:rPr>
            </w:pPr>
            <w:r w:rsidRPr="00D77EB6">
              <w:rPr>
                <w:rFonts w:ascii="Arial" w:hAnsi="Arial" w:eastAsia="Times New Roman" w:cs="Arial"/>
                <w:b/>
                <w:bCs/>
                <w:color w:val="000000"/>
                <w:sz w:val="20"/>
                <w:szCs w:val="20"/>
              </w:rPr>
              <w:t>41.02</w:t>
            </w:r>
          </w:p>
        </w:tc>
        <w:tc>
          <w:tcPr>
            <w:tcW w:w="960" w:type="dxa"/>
            <w:tcBorders>
              <w:top w:val="nil"/>
              <w:left w:val="nil"/>
              <w:bottom w:val="single" w:color="auto" w:sz="4" w:space="0"/>
              <w:right w:val="single" w:color="auto" w:sz="4" w:space="0"/>
            </w:tcBorders>
            <w:shd w:val="clear" w:color="000000" w:fill="9BC2E6"/>
            <w:noWrap/>
            <w:vAlign w:val="bottom"/>
            <w:hideMark/>
          </w:tcPr>
          <w:p w:rsidRPr="00D77EB6" w:rsidR="00D77EB6" w:rsidP="00D77EB6" w:rsidRDefault="00D77EB6" w14:paraId="5A872211" w14:textId="77777777">
            <w:pPr>
              <w:jc w:val="right"/>
              <w:rPr>
                <w:rFonts w:ascii="Arial" w:hAnsi="Arial" w:eastAsia="Times New Roman" w:cs="Arial"/>
                <w:b/>
                <w:bCs/>
                <w:color w:val="000000"/>
                <w:sz w:val="20"/>
                <w:szCs w:val="20"/>
              </w:rPr>
            </w:pPr>
            <w:r w:rsidRPr="00D77EB6">
              <w:rPr>
                <w:rFonts w:ascii="Arial" w:hAnsi="Arial" w:eastAsia="Times New Roman" w:cs="Arial"/>
                <w:b/>
                <w:bCs/>
                <w:color w:val="000000"/>
                <w:sz w:val="20"/>
                <w:szCs w:val="20"/>
              </w:rPr>
              <w:t>45.57%</w:t>
            </w:r>
          </w:p>
        </w:tc>
      </w:tr>
      <w:tr w:rsidRPr="00D77EB6" w:rsidR="00D77EB6" w:rsidTr="00D77EB6" w14:paraId="01C47AE1"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77EB6" w:rsidR="00D77EB6" w:rsidP="00D77EB6" w:rsidRDefault="00D77EB6" w14:paraId="726FA36B"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carsti</w:t>
            </w:r>
          </w:p>
        </w:tc>
        <w:tc>
          <w:tcPr>
            <w:tcW w:w="2209"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3FDD4073"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Common Fox Sedge</w:t>
            </w:r>
          </w:p>
        </w:tc>
        <w:tc>
          <w:tcPr>
            <w:tcW w:w="2832" w:type="dxa"/>
            <w:tcBorders>
              <w:top w:val="nil"/>
              <w:left w:val="nil"/>
              <w:bottom w:val="single" w:color="auto" w:sz="4" w:space="0"/>
              <w:right w:val="single" w:color="auto" w:sz="4" w:space="0"/>
            </w:tcBorders>
            <w:shd w:val="clear" w:color="000000" w:fill="A9D08E"/>
            <w:noWrap/>
            <w:vAlign w:val="bottom"/>
            <w:hideMark/>
          </w:tcPr>
          <w:p w:rsidRPr="00D77EB6" w:rsidR="00D77EB6" w:rsidP="00D77EB6" w:rsidRDefault="00D77EB6" w14:paraId="25FE49EE"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Carex stipata</w:t>
            </w:r>
          </w:p>
        </w:tc>
        <w:tc>
          <w:tcPr>
            <w:tcW w:w="644"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2766F43F"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0.23</w:t>
            </w:r>
          </w:p>
        </w:tc>
        <w:tc>
          <w:tcPr>
            <w:tcW w:w="925"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33B4E4FC"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0.71%</w:t>
            </w:r>
          </w:p>
        </w:tc>
        <w:tc>
          <w:tcPr>
            <w:tcW w:w="92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3DC1780E"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2.87</w:t>
            </w:r>
          </w:p>
        </w:tc>
        <w:tc>
          <w:tcPr>
            <w:tcW w:w="96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42278920"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3.19%</w:t>
            </w:r>
          </w:p>
        </w:tc>
      </w:tr>
      <w:tr w:rsidRPr="00D77EB6" w:rsidR="00D77EB6" w:rsidTr="00D77EB6" w14:paraId="4C72BBBF"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77EB6" w:rsidR="00D77EB6" w:rsidP="00D77EB6" w:rsidRDefault="00D77EB6" w14:paraId="69AAAC94"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carvul</w:t>
            </w:r>
          </w:p>
        </w:tc>
        <w:tc>
          <w:tcPr>
            <w:tcW w:w="2209"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53AB955D"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Brown Fox Sedge</w:t>
            </w:r>
          </w:p>
        </w:tc>
        <w:tc>
          <w:tcPr>
            <w:tcW w:w="2832" w:type="dxa"/>
            <w:tcBorders>
              <w:top w:val="nil"/>
              <w:left w:val="nil"/>
              <w:bottom w:val="single" w:color="auto" w:sz="4" w:space="0"/>
              <w:right w:val="single" w:color="auto" w:sz="4" w:space="0"/>
            </w:tcBorders>
            <w:shd w:val="clear" w:color="000000" w:fill="A9D08E"/>
            <w:noWrap/>
            <w:vAlign w:val="bottom"/>
            <w:hideMark/>
          </w:tcPr>
          <w:p w:rsidRPr="00D77EB6" w:rsidR="00D77EB6" w:rsidP="00D77EB6" w:rsidRDefault="00D77EB6" w14:paraId="788DFB54"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Carex vulpinoidea</w:t>
            </w:r>
          </w:p>
        </w:tc>
        <w:tc>
          <w:tcPr>
            <w:tcW w:w="644"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79EFD0F4"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0.14</w:t>
            </w:r>
          </w:p>
        </w:tc>
        <w:tc>
          <w:tcPr>
            <w:tcW w:w="925"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00302232"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0.43%</w:t>
            </w:r>
          </w:p>
        </w:tc>
        <w:tc>
          <w:tcPr>
            <w:tcW w:w="92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519C8DE3"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5.14</w:t>
            </w:r>
          </w:p>
        </w:tc>
        <w:tc>
          <w:tcPr>
            <w:tcW w:w="96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7DFC205E"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5.71%</w:t>
            </w:r>
          </w:p>
        </w:tc>
      </w:tr>
      <w:tr w:rsidRPr="00D77EB6" w:rsidR="00D77EB6" w:rsidTr="00D77EB6" w14:paraId="2ACC1B49"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77EB6" w:rsidR="00D77EB6" w:rsidP="00D77EB6" w:rsidRDefault="00D77EB6" w14:paraId="68996321"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sciatr</w:t>
            </w:r>
          </w:p>
        </w:tc>
        <w:tc>
          <w:tcPr>
            <w:tcW w:w="2209"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5F7CD389"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Dark Green Bulrush</w:t>
            </w:r>
          </w:p>
        </w:tc>
        <w:tc>
          <w:tcPr>
            <w:tcW w:w="2832" w:type="dxa"/>
            <w:tcBorders>
              <w:top w:val="nil"/>
              <w:left w:val="nil"/>
              <w:bottom w:val="single" w:color="auto" w:sz="4" w:space="0"/>
              <w:right w:val="single" w:color="auto" w:sz="4" w:space="0"/>
            </w:tcBorders>
            <w:shd w:val="clear" w:color="000000" w:fill="A9D08E"/>
            <w:noWrap/>
            <w:vAlign w:val="bottom"/>
            <w:hideMark/>
          </w:tcPr>
          <w:p w:rsidRPr="00D77EB6" w:rsidR="00D77EB6" w:rsidP="00D77EB6" w:rsidRDefault="00D77EB6" w14:paraId="52CC13D9"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Scirpus atrovirens</w:t>
            </w:r>
          </w:p>
        </w:tc>
        <w:tc>
          <w:tcPr>
            <w:tcW w:w="644"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7A2246F1"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0.08</w:t>
            </w:r>
          </w:p>
        </w:tc>
        <w:tc>
          <w:tcPr>
            <w:tcW w:w="925"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100886F6"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0.25%</w:t>
            </w:r>
          </w:p>
        </w:tc>
        <w:tc>
          <w:tcPr>
            <w:tcW w:w="92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322E4523"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13.52</w:t>
            </w:r>
          </w:p>
        </w:tc>
        <w:tc>
          <w:tcPr>
            <w:tcW w:w="96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341F2B47"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15.02%</w:t>
            </w:r>
          </w:p>
        </w:tc>
      </w:tr>
      <w:tr w:rsidRPr="00D77EB6" w:rsidR="00D77EB6" w:rsidTr="00D77EB6" w14:paraId="34C190DB" w14:textId="77777777">
        <w:trPr>
          <w:trHeight w:val="255"/>
        </w:trPr>
        <w:tc>
          <w:tcPr>
            <w:tcW w:w="820" w:type="dxa"/>
            <w:tcBorders>
              <w:top w:val="nil"/>
              <w:left w:val="single" w:color="auto" w:sz="4" w:space="0"/>
              <w:bottom w:val="single" w:color="auto" w:sz="4" w:space="0"/>
              <w:right w:val="single" w:color="auto" w:sz="4" w:space="0"/>
            </w:tcBorders>
            <w:shd w:val="clear" w:color="000000" w:fill="9BC2E6"/>
            <w:noWrap/>
            <w:vAlign w:val="bottom"/>
            <w:hideMark/>
          </w:tcPr>
          <w:p w:rsidRPr="00D77EB6" w:rsidR="00D77EB6" w:rsidP="00D77EB6" w:rsidRDefault="00D77EB6" w14:paraId="733F86D9" w14:textId="77777777">
            <w:pPr>
              <w:rPr>
                <w:rFonts w:ascii="Arial" w:hAnsi="Arial" w:eastAsia="Times New Roman" w:cs="Arial"/>
                <w:b/>
                <w:bCs/>
                <w:color w:val="000000"/>
                <w:sz w:val="20"/>
                <w:szCs w:val="20"/>
              </w:rPr>
            </w:pPr>
            <w:r w:rsidRPr="00D77EB6">
              <w:rPr>
                <w:rFonts w:ascii="Arial" w:hAnsi="Arial" w:eastAsia="Times New Roman" w:cs="Arial"/>
                <w:b/>
                <w:bCs/>
                <w:color w:val="000000"/>
                <w:sz w:val="20"/>
                <w:szCs w:val="20"/>
              </w:rPr>
              <w:t> </w:t>
            </w:r>
          </w:p>
        </w:tc>
        <w:tc>
          <w:tcPr>
            <w:tcW w:w="2209" w:type="dxa"/>
            <w:tcBorders>
              <w:top w:val="nil"/>
              <w:left w:val="nil"/>
              <w:bottom w:val="single" w:color="auto" w:sz="4" w:space="0"/>
              <w:right w:val="single" w:color="auto" w:sz="4" w:space="0"/>
            </w:tcBorders>
            <w:shd w:val="clear" w:color="000000" w:fill="9BC2E6"/>
            <w:noWrap/>
            <w:vAlign w:val="bottom"/>
            <w:hideMark/>
          </w:tcPr>
          <w:p w:rsidRPr="00D77EB6" w:rsidR="00D77EB6" w:rsidP="00D77EB6" w:rsidRDefault="00D77EB6" w14:paraId="67253009" w14:textId="77777777">
            <w:pPr>
              <w:rPr>
                <w:rFonts w:ascii="Arial" w:hAnsi="Arial" w:eastAsia="Times New Roman" w:cs="Arial"/>
                <w:b/>
                <w:bCs/>
                <w:color w:val="000000"/>
                <w:sz w:val="20"/>
                <w:szCs w:val="20"/>
              </w:rPr>
            </w:pPr>
            <w:r w:rsidRPr="00D77EB6">
              <w:rPr>
                <w:rFonts w:ascii="Arial" w:hAnsi="Arial" w:eastAsia="Times New Roman" w:cs="Arial"/>
                <w:b/>
                <w:bCs/>
                <w:color w:val="000000"/>
                <w:sz w:val="20"/>
                <w:szCs w:val="20"/>
              </w:rPr>
              <w:t> </w:t>
            </w:r>
          </w:p>
        </w:tc>
        <w:tc>
          <w:tcPr>
            <w:tcW w:w="2832" w:type="dxa"/>
            <w:tcBorders>
              <w:top w:val="nil"/>
              <w:left w:val="nil"/>
              <w:bottom w:val="single" w:color="auto" w:sz="4" w:space="0"/>
              <w:right w:val="single" w:color="auto" w:sz="4" w:space="0"/>
            </w:tcBorders>
            <w:shd w:val="clear" w:color="000000" w:fill="9BC2E6"/>
            <w:noWrap/>
            <w:vAlign w:val="bottom"/>
            <w:hideMark/>
          </w:tcPr>
          <w:p w:rsidRPr="00D77EB6" w:rsidR="00D77EB6" w:rsidP="00D77EB6" w:rsidRDefault="00D77EB6" w14:paraId="18B0B731" w14:textId="77777777">
            <w:pPr>
              <w:rPr>
                <w:rFonts w:ascii="Arial" w:hAnsi="Arial" w:eastAsia="Times New Roman" w:cs="Arial"/>
                <w:b/>
                <w:bCs/>
                <w:color w:val="000000"/>
                <w:sz w:val="20"/>
                <w:szCs w:val="20"/>
              </w:rPr>
            </w:pPr>
            <w:r w:rsidRPr="00D77EB6">
              <w:rPr>
                <w:rFonts w:ascii="Arial" w:hAnsi="Arial" w:eastAsia="Times New Roman" w:cs="Arial"/>
                <w:b/>
                <w:bCs/>
                <w:color w:val="000000"/>
                <w:sz w:val="20"/>
                <w:szCs w:val="20"/>
              </w:rPr>
              <w:t>Sedges &amp; Rushes Subtotal</w:t>
            </w:r>
          </w:p>
        </w:tc>
        <w:tc>
          <w:tcPr>
            <w:tcW w:w="644" w:type="dxa"/>
            <w:tcBorders>
              <w:top w:val="nil"/>
              <w:left w:val="nil"/>
              <w:bottom w:val="single" w:color="auto" w:sz="4" w:space="0"/>
              <w:right w:val="single" w:color="auto" w:sz="4" w:space="0"/>
            </w:tcBorders>
            <w:shd w:val="clear" w:color="000000" w:fill="9BC2E6"/>
            <w:noWrap/>
            <w:vAlign w:val="bottom"/>
            <w:hideMark/>
          </w:tcPr>
          <w:p w:rsidRPr="00D77EB6" w:rsidR="00D77EB6" w:rsidP="00D77EB6" w:rsidRDefault="00D77EB6" w14:paraId="4E70982F" w14:textId="77777777">
            <w:pPr>
              <w:jc w:val="right"/>
              <w:rPr>
                <w:rFonts w:ascii="Arial" w:hAnsi="Arial" w:eastAsia="Times New Roman" w:cs="Arial"/>
                <w:b/>
                <w:bCs/>
                <w:color w:val="000000"/>
                <w:sz w:val="20"/>
                <w:szCs w:val="20"/>
              </w:rPr>
            </w:pPr>
            <w:r w:rsidRPr="00D77EB6">
              <w:rPr>
                <w:rFonts w:ascii="Arial" w:hAnsi="Arial" w:eastAsia="Times New Roman" w:cs="Arial"/>
                <w:b/>
                <w:bCs/>
                <w:color w:val="000000"/>
                <w:sz w:val="20"/>
                <w:szCs w:val="20"/>
              </w:rPr>
              <w:t>0.45</w:t>
            </w:r>
          </w:p>
        </w:tc>
        <w:tc>
          <w:tcPr>
            <w:tcW w:w="925" w:type="dxa"/>
            <w:tcBorders>
              <w:top w:val="nil"/>
              <w:left w:val="nil"/>
              <w:bottom w:val="single" w:color="auto" w:sz="4" w:space="0"/>
              <w:right w:val="single" w:color="auto" w:sz="4" w:space="0"/>
            </w:tcBorders>
            <w:shd w:val="clear" w:color="000000" w:fill="9BC2E6"/>
            <w:noWrap/>
            <w:vAlign w:val="bottom"/>
            <w:hideMark/>
          </w:tcPr>
          <w:p w:rsidRPr="00D77EB6" w:rsidR="00D77EB6" w:rsidP="00D77EB6" w:rsidRDefault="00D77EB6" w14:paraId="508B248E" w14:textId="77777777">
            <w:pPr>
              <w:jc w:val="right"/>
              <w:rPr>
                <w:rFonts w:ascii="Arial" w:hAnsi="Arial" w:eastAsia="Times New Roman" w:cs="Arial"/>
                <w:b/>
                <w:bCs/>
                <w:color w:val="000000"/>
                <w:sz w:val="20"/>
                <w:szCs w:val="20"/>
              </w:rPr>
            </w:pPr>
            <w:r w:rsidRPr="00D77EB6">
              <w:rPr>
                <w:rFonts w:ascii="Arial" w:hAnsi="Arial" w:eastAsia="Times New Roman" w:cs="Arial"/>
                <w:b/>
                <w:bCs/>
                <w:color w:val="000000"/>
                <w:sz w:val="20"/>
                <w:szCs w:val="20"/>
              </w:rPr>
              <w:t>1.39%</w:t>
            </w:r>
          </w:p>
        </w:tc>
        <w:tc>
          <w:tcPr>
            <w:tcW w:w="920" w:type="dxa"/>
            <w:tcBorders>
              <w:top w:val="nil"/>
              <w:left w:val="nil"/>
              <w:bottom w:val="single" w:color="auto" w:sz="4" w:space="0"/>
              <w:right w:val="single" w:color="auto" w:sz="4" w:space="0"/>
            </w:tcBorders>
            <w:shd w:val="clear" w:color="000000" w:fill="9BC2E6"/>
            <w:noWrap/>
            <w:vAlign w:val="bottom"/>
            <w:hideMark/>
          </w:tcPr>
          <w:p w:rsidRPr="00D77EB6" w:rsidR="00D77EB6" w:rsidP="00D77EB6" w:rsidRDefault="00D77EB6" w14:paraId="0506417E" w14:textId="77777777">
            <w:pPr>
              <w:jc w:val="right"/>
              <w:rPr>
                <w:rFonts w:ascii="Arial" w:hAnsi="Arial" w:eastAsia="Times New Roman" w:cs="Arial"/>
                <w:b/>
                <w:bCs/>
                <w:color w:val="000000"/>
                <w:sz w:val="20"/>
                <w:szCs w:val="20"/>
              </w:rPr>
            </w:pPr>
            <w:r w:rsidRPr="00D77EB6">
              <w:rPr>
                <w:rFonts w:ascii="Arial" w:hAnsi="Arial" w:eastAsia="Times New Roman" w:cs="Arial"/>
                <w:b/>
                <w:bCs/>
                <w:color w:val="000000"/>
                <w:sz w:val="20"/>
                <w:szCs w:val="20"/>
              </w:rPr>
              <w:t>21.53</w:t>
            </w:r>
          </w:p>
        </w:tc>
        <w:tc>
          <w:tcPr>
            <w:tcW w:w="960" w:type="dxa"/>
            <w:tcBorders>
              <w:top w:val="nil"/>
              <w:left w:val="nil"/>
              <w:bottom w:val="single" w:color="auto" w:sz="4" w:space="0"/>
              <w:right w:val="single" w:color="auto" w:sz="4" w:space="0"/>
            </w:tcBorders>
            <w:shd w:val="clear" w:color="000000" w:fill="9BC2E6"/>
            <w:noWrap/>
            <w:vAlign w:val="bottom"/>
            <w:hideMark/>
          </w:tcPr>
          <w:p w:rsidRPr="00D77EB6" w:rsidR="00D77EB6" w:rsidP="00D77EB6" w:rsidRDefault="00D77EB6" w14:paraId="5C0B3372" w14:textId="77777777">
            <w:pPr>
              <w:jc w:val="right"/>
              <w:rPr>
                <w:rFonts w:ascii="Arial" w:hAnsi="Arial" w:eastAsia="Times New Roman" w:cs="Arial"/>
                <w:b/>
                <w:bCs/>
                <w:color w:val="000000"/>
                <w:sz w:val="20"/>
                <w:szCs w:val="20"/>
              </w:rPr>
            </w:pPr>
            <w:r w:rsidRPr="00D77EB6">
              <w:rPr>
                <w:rFonts w:ascii="Arial" w:hAnsi="Arial" w:eastAsia="Times New Roman" w:cs="Arial"/>
                <w:b/>
                <w:bCs/>
                <w:color w:val="000000"/>
                <w:sz w:val="20"/>
                <w:szCs w:val="20"/>
              </w:rPr>
              <w:t>23.92%</w:t>
            </w:r>
          </w:p>
        </w:tc>
      </w:tr>
      <w:tr w:rsidRPr="00D77EB6" w:rsidR="00D77EB6" w:rsidTr="00D77EB6" w14:paraId="69B2657A"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77EB6" w:rsidR="00D77EB6" w:rsidP="00D77EB6" w:rsidRDefault="00D77EB6" w14:paraId="00DEDF61"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ascinc</w:t>
            </w:r>
          </w:p>
        </w:tc>
        <w:tc>
          <w:tcPr>
            <w:tcW w:w="2209"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012C3A19"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Swamp Milkweed</w:t>
            </w:r>
          </w:p>
        </w:tc>
        <w:tc>
          <w:tcPr>
            <w:tcW w:w="2832" w:type="dxa"/>
            <w:tcBorders>
              <w:top w:val="nil"/>
              <w:left w:val="nil"/>
              <w:bottom w:val="single" w:color="auto" w:sz="4" w:space="0"/>
              <w:right w:val="single" w:color="auto" w:sz="4" w:space="0"/>
            </w:tcBorders>
            <w:shd w:val="clear" w:color="000000" w:fill="A9D08E"/>
            <w:noWrap/>
            <w:vAlign w:val="bottom"/>
            <w:hideMark/>
          </w:tcPr>
          <w:p w:rsidRPr="00D77EB6" w:rsidR="00D77EB6" w:rsidP="00D77EB6" w:rsidRDefault="00D77EB6" w14:paraId="18BD8ADB"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Asclepias incarnata</w:t>
            </w:r>
          </w:p>
        </w:tc>
        <w:tc>
          <w:tcPr>
            <w:tcW w:w="644"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3A84B442"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0.04</w:t>
            </w:r>
          </w:p>
        </w:tc>
        <w:tc>
          <w:tcPr>
            <w:tcW w:w="925"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1004181E"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0.12%</w:t>
            </w:r>
          </w:p>
        </w:tc>
        <w:tc>
          <w:tcPr>
            <w:tcW w:w="92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081DE150"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0.07</w:t>
            </w:r>
          </w:p>
        </w:tc>
        <w:tc>
          <w:tcPr>
            <w:tcW w:w="96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7D596631"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0.08%</w:t>
            </w:r>
          </w:p>
        </w:tc>
      </w:tr>
      <w:tr w:rsidRPr="00D77EB6" w:rsidR="00D77EB6" w:rsidTr="00D77EB6" w14:paraId="68E90047"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77EB6" w:rsidR="00D77EB6" w:rsidP="00D77EB6" w:rsidRDefault="00D77EB6" w14:paraId="7BEBE6F0"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bidcer</w:t>
            </w:r>
          </w:p>
        </w:tc>
        <w:tc>
          <w:tcPr>
            <w:tcW w:w="2209"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24077B6D"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Nodding Bur Marigold</w:t>
            </w:r>
          </w:p>
        </w:tc>
        <w:tc>
          <w:tcPr>
            <w:tcW w:w="2832" w:type="dxa"/>
            <w:tcBorders>
              <w:top w:val="nil"/>
              <w:left w:val="nil"/>
              <w:bottom w:val="single" w:color="auto" w:sz="4" w:space="0"/>
              <w:right w:val="single" w:color="auto" w:sz="4" w:space="0"/>
            </w:tcBorders>
            <w:shd w:val="clear" w:color="000000" w:fill="A9D08E"/>
            <w:noWrap/>
            <w:vAlign w:val="bottom"/>
            <w:hideMark/>
          </w:tcPr>
          <w:p w:rsidRPr="00D77EB6" w:rsidR="00D77EB6" w:rsidP="00D77EB6" w:rsidRDefault="00D77EB6" w14:paraId="4E16D05A"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Bidens cernua</w:t>
            </w:r>
          </w:p>
        </w:tc>
        <w:tc>
          <w:tcPr>
            <w:tcW w:w="644"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5C43D8AC"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0.04</w:t>
            </w:r>
          </w:p>
        </w:tc>
        <w:tc>
          <w:tcPr>
            <w:tcW w:w="925"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31DC1F5E"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0.12%</w:t>
            </w:r>
          </w:p>
        </w:tc>
        <w:tc>
          <w:tcPr>
            <w:tcW w:w="92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64AC2DAA"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0.31</w:t>
            </w:r>
          </w:p>
        </w:tc>
        <w:tc>
          <w:tcPr>
            <w:tcW w:w="96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3C60CEC4"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0.34%</w:t>
            </w:r>
          </w:p>
        </w:tc>
      </w:tr>
      <w:tr w:rsidRPr="00D77EB6" w:rsidR="00D77EB6" w:rsidTr="00D77EB6" w14:paraId="5DA4AC2B"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77EB6" w:rsidR="00D77EB6" w:rsidP="00D77EB6" w:rsidRDefault="00D77EB6" w14:paraId="4DBCA425"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doeumb</w:t>
            </w:r>
          </w:p>
        </w:tc>
        <w:tc>
          <w:tcPr>
            <w:tcW w:w="2209"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58F1FF0C"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Flat-topped Aster</w:t>
            </w:r>
          </w:p>
        </w:tc>
        <w:tc>
          <w:tcPr>
            <w:tcW w:w="2832" w:type="dxa"/>
            <w:tcBorders>
              <w:top w:val="nil"/>
              <w:left w:val="nil"/>
              <w:bottom w:val="single" w:color="auto" w:sz="4" w:space="0"/>
              <w:right w:val="single" w:color="auto" w:sz="4" w:space="0"/>
            </w:tcBorders>
            <w:shd w:val="clear" w:color="000000" w:fill="A9D08E"/>
            <w:noWrap/>
            <w:vAlign w:val="bottom"/>
            <w:hideMark/>
          </w:tcPr>
          <w:p w:rsidRPr="00D77EB6" w:rsidR="00D77EB6" w:rsidP="00D77EB6" w:rsidRDefault="00D77EB6" w14:paraId="56D266DE"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Doellingeria umbellata</w:t>
            </w:r>
          </w:p>
        </w:tc>
        <w:tc>
          <w:tcPr>
            <w:tcW w:w="644"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60C147FC"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0.01</w:t>
            </w:r>
          </w:p>
        </w:tc>
        <w:tc>
          <w:tcPr>
            <w:tcW w:w="925"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71F3799E"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0.03%</w:t>
            </w:r>
          </w:p>
        </w:tc>
        <w:tc>
          <w:tcPr>
            <w:tcW w:w="92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248D91E5"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0.25</w:t>
            </w:r>
          </w:p>
        </w:tc>
        <w:tc>
          <w:tcPr>
            <w:tcW w:w="96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6622BC74"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0.27%</w:t>
            </w:r>
          </w:p>
        </w:tc>
      </w:tr>
      <w:tr w:rsidRPr="00D77EB6" w:rsidR="00D77EB6" w:rsidTr="00D77EB6" w14:paraId="47C8A1A1"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77EB6" w:rsidR="00D77EB6" w:rsidP="00D77EB6" w:rsidRDefault="00D77EB6" w14:paraId="116DDB65"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eupper</w:t>
            </w:r>
          </w:p>
        </w:tc>
        <w:tc>
          <w:tcPr>
            <w:tcW w:w="2209"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3E866924"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Boneset</w:t>
            </w:r>
          </w:p>
        </w:tc>
        <w:tc>
          <w:tcPr>
            <w:tcW w:w="2832" w:type="dxa"/>
            <w:tcBorders>
              <w:top w:val="nil"/>
              <w:left w:val="nil"/>
              <w:bottom w:val="single" w:color="auto" w:sz="4" w:space="0"/>
              <w:right w:val="single" w:color="auto" w:sz="4" w:space="0"/>
            </w:tcBorders>
            <w:shd w:val="clear" w:color="000000" w:fill="A9D08E"/>
            <w:noWrap/>
            <w:vAlign w:val="bottom"/>
            <w:hideMark/>
          </w:tcPr>
          <w:p w:rsidRPr="00D77EB6" w:rsidR="00D77EB6" w:rsidP="00D77EB6" w:rsidRDefault="00D77EB6" w14:paraId="457C4D70"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Eupatorium perfoliatum</w:t>
            </w:r>
          </w:p>
        </w:tc>
        <w:tc>
          <w:tcPr>
            <w:tcW w:w="644"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4CB3A6D7"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0.01</w:t>
            </w:r>
          </w:p>
        </w:tc>
        <w:tc>
          <w:tcPr>
            <w:tcW w:w="925"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23146830"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0.03%</w:t>
            </w:r>
          </w:p>
        </w:tc>
        <w:tc>
          <w:tcPr>
            <w:tcW w:w="92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60EDCA5C"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0.59</w:t>
            </w:r>
          </w:p>
        </w:tc>
        <w:tc>
          <w:tcPr>
            <w:tcW w:w="96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1D790BDB"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0.65%</w:t>
            </w:r>
          </w:p>
        </w:tc>
      </w:tr>
      <w:tr w:rsidRPr="00D77EB6" w:rsidR="00D77EB6" w:rsidTr="00D77EB6" w14:paraId="464B621E"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77EB6" w:rsidR="00D77EB6" w:rsidP="00D77EB6" w:rsidRDefault="00D77EB6" w14:paraId="76ED8BDB"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eutgra</w:t>
            </w:r>
          </w:p>
        </w:tc>
        <w:tc>
          <w:tcPr>
            <w:tcW w:w="2209"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121B3FC1"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Grass-leaved Goldenrod</w:t>
            </w:r>
          </w:p>
        </w:tc>
        <w:tc>
          <w:tcPr>
            <w:tcW w:w="2832" w:type="dxa"/>
            <w:tcBorders>
              <w:top w:val="nil"/>
              <w:left w:val="nil"/>
              <w:bottom w:val="single" w:color="auto" w:sz="4" w:space="0"/>
              <w:right w:val="single" w:color="auto" w:sz="4" w:space="0"/>
            </w:tcBorders>
            <w:shd w:val="clear" w:color="000000" w:fill="A9D08E"/>
            <w:noWrap/>
            <w:vAlign w:val="bottom"/>
            <w:hideMark/>
          </w:tcPr>
          <w:p w:rsidRPr="00D77EB6" w:rsidR="00D77EB6" w:rsidP="00D77EB6" w:rsidRDefault="00D77EB6" w14:paraId="3A6997DF"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Euthamia gramnifolia</w:t>
            </w:r>
          </w:p>
        </w:tc>
        <w:tc>
          <w:tcPr>
            <w:tcW w:w="644"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7FF407CC"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0.01</w:t>
            </w:r>
          </w:p>
        </w:tc>
        <w:tc>
          <w:tcPr>
            <w:tcW w:w="925"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4FDC0961"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0.03%</w:t>
            </w:r>
          </w:p>
        </w:tc>
        <w:tc>
          <w:tcPr>
            <w:tcW w:w="92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4760BA36"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1.29</w:t>
            </w:r>
          </w:p>
        </w:tc>
        <w:tc>
          <w:tcPr>
            <w:tcW w:w="96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64D479A4"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1.43%</w:t>
            </w:r>
          </w:p>
        </w:tc>
      </w:tr>
      <w:tr w:rsidRPr="00D77EB6" w:rsidR="00D77EB6" w:rsidTr="00D77EB6" w14:paraId="093D5A88"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77EB6" w:rsidR="00D77EB6" w:rsidP="00D77EB6" w:rsidRDefault="00D77EB6" w14:paraId="54FFF50F"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eutmac</w:t>
            </w:r>
          </w:p>
        </w:tc>
        <w:tc>
          <w:tcPr>
            <w:tcW w:w="2209"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7A692A52"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Joe Pye Weed</w:t>
            </w:r>
          </w:p>
        </w:tc>
        <w:tc>
          <w:tcPr>
            <w:tcW w:w="2832" w:type="dxa"/>
            <w:tcBorders>
              <w:top w:val="nil"/>
              <w:left w:val="nil"/>
              <w:bottom w:val="single" w:color="auto" w:sz="4" w:space="0"/>
              <w:right w:val="single" w:color="auto" w:sz="4" w:space="0"/>
            </w:tcBorders>
            <w:shd w:val="clear" w:color="000000" w:fill="A9D08E"/>
            <w:noWrap/>
            <w:vAlign w:val="bottom"/>
            <w:hideMark/>
          </w:tcPr>
          <w:p w:rsidRPr="00D77EB6" w:rsidR="00D77EB6" w:rsidP="00D77EB6" w:rsidRDefault="00D77EB6" w14:paraId="2F897EE1"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Eutrochium maculatum</w:t>
            </w:r>
          </w:p>
        </w:tc>
        <w:tc>
          <w:tcPr>
            <w:tcW w:w="644"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48D55794"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0.01</w:t>
            </w:r>
          </w:p>
        </w:tc>
        <w:tc>
          <w:tcPr>
            <w:tcW w:w="925"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3B8D9A70"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0.03%</w:t>
            </w:r>
          </w:p>
        </w:tc>
        <w:tc>
          <w:tcPr>
            <w:tcW w:w="92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426A9414"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0.35</w:t>
            </w:r>
          </w:p>
        </w:tc>
        <w:tc>
          <w:tcPr>
            <w:tcW w:w="96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0DBF917F"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0.39%</w:t>
            </w:r>
          </w:p>
        </w:tc>
      </w:tr>
      <w:tr w:rsidRPr="00D77EB6" w:rsidR="00D77EB6" w:rsidTr="00D77EB6" w14:paraId="0B4A452D"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77EB6" w:rsidR="00D77EB6" w:rsidP="00D77EB6" w:rsidRDefault="00D77EB6" w14:paraId="11C6B906"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helaut</w:t>
            </w:r>
          </w:p>
        </w:tc>
        <w:tc>
          <w:tcPr>
            <w:tcW w:w="2209"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0FB4D5B4"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Sneezeweed</w:t>
            </w:r>
          </w:p>
        </w:tc>
        <w:tc>
          <w:tcPr>
            <w:tcW w:w="2832" w:type="dxa"/>
            <w:tcBorders>
              <w:top w:val="nil"/>
              <w:left w:val="nil"/>
              <w:bottom w:val="single" w:color="auto" w:sz="4" w:space="0"/>
              <w:right w:val="single" w:color="auto" w:sz="4" w:space="0"/>
            </w:tcBorders>
            <w:shd w:val="clear" w:color="000000" w:fill="A9D08E"/>
            <w:noWrap/>
            <w:vAlign w:val="bottom"/>
            <w:hideMark/>
          </w:tcPr>
          <w:p w:rsidRPr="00D77EB6" w:rsidR="00D77EB6" w:rsidP="00D77EB6" w:rsidRDefault="00D77EB6" w14:paraId="2777088C"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Helenium autumnale</w:t>
            </w:r>
          </w:p>
        </w:tc>
        <w:tc>
          <w:tcPr>
            <w:tcW w:w="644"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1C8FB881"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0.02</w:t>
            </w:r>
          </w:p>
        </w:tc>
        <w:tc>
          <w:tcPr>
            <w:tcW w:w="925"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50A5F7F1"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0.06%</w:t>
            </w:r>
          </w:p>
        </w:tc>
        <w:tc>
          <w:tcPr>
            <w:tcW w:w="92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0A25B28B"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0.96</w:t>
            </w:r>
          </w:p>
        </w:tc>
        <w:tc>
          <w:tcPr>
            <w:tcW w:w="96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633F37BD"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1.06%</w:t>
            </w:r>
          </w:p>
        </w:tc>
      </w:tr>
      <w:tr w:rsidRPr="00D77EB6" w:rsidR="00D77EB6" w:rsidTr="00D77EB6" w14:paraId="043513DE"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77EB6" w:rsidR="00D77EB6" w:rsidP="00D77EB6" w:rsidRDefault="00D77EB6" w14:paraId="3B4C77F6"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helgro</w:t>
            </w:r>
          </w:p>
        </w:tc>
        <w:tc>
          <w:tcPr>
            <w:tcW w:w="2209"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7FA2DD13"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Sawtooth Sunflower</w:t>
            </w:r>
          </w:p>
        </w:tc>
        <w:tc>
          <w:tcPr>
            <w:tcW w:w="2832" w:type="dxa"/>
            <w:tcBorders>
              <w:top w:val="nil"/>
              <w:left w:val="nil"/>
              <w:bottom w:val="single" w:color="auto" w:sz="4" w:space="0"/>
              <w:right w:val="single" w:color="auto" w:sz="4" w:space="0"/>
            </w:tcBorders>
            <w:shd w:val="clear" w:color="000000" w:fill="A9D08E"/>
            <w:noWrap/>
            <w:vAlign w:val="bottom"/>
            <w:hideMark/>
          </w:tcPr>
          <w:p w:rsidRPr="00D77EB6" w:rsidR="00D77EB6" w:rsidP="00D77EB6" w:rsidRDefault="00D77EB6" w14:paraId="26081166"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Helianthus grosseserratus</w:t>
            </w:r>
          </w:p>
        </w:tc>
        <w:tc>
          <w:tcPr>
            <w:tcW w:w="644"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1E903453"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0.01</w:t>
            </w:r>
          </w:p>
        </w:tc>
        <w:tc>
          <w:tcPr>
            <w:tcW w:w="925"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1D340575"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0.03%</w:t>
            </w:r>
          </w:p>
        </w:tc>
        <w:tc>
          <w:tcPr>
            <w:tcW w:w="92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6FC220E8"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0.06</w:t>
            </w:r>
          </w:p>
        </w:tc>
        <w:tc>
          <w:tcPr>
            <w:tcW w:w="96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05756875"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0.06%</w:t>
            </w:r>
          </w:p>
        </w:tc>
      </w:tr>
      <w:tr w:rsidRPr="00D77EB6" w:rsidR="00D77EB6" w:rsidTr="00D77EB6" w14:paraId="3C727812"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77EB6" w:rsidR="00D77EB6" w:rsidP="00D77EB6" w:rsidRDefault="00D77EB6" w14:paraId="0347EA71"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lobsip</w:t>
            </w:r>
          </w:p>
        </w:tc>
        <w:tc>
          <w:tcPr>
            <w:tcW w:w="2209"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78F9ACC4"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Great Blue Lobelia</w:t>
            </w:r>
          </w:p>
        </w:tc>
        <w:tc>
          <w:tcPr>
            <w:tcW w:w="2832" w:type="dxa"/>
            <w:tcBorders>
              <w:top w:val="nil"/>
              <w:left w:val="nil"/>
              <w:bottom w:val="single" w:color="auto" w:sz="4" w:space="0"/>
              <w:right w:val="single" w:color="auto" w:sz="4" w:space="0"/>
            </w:tcBorders>
            <w:shd w:val="clear" w:color="000000" w:fill="A9D08E"/>
            <w:noWrap/>
            <w:vAlign w:val="bottom"/>
            <w:hideMark/>
          </w:tcPr>
          <w:p w:rsidRPr="00D77EB6" w:rsidR="00D77EB6" w:rsidP="00D77EB6" w:rsidRDefault="00D77EB6" w14:paraId="1D65D27E"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Lobelia siphilitica</w:t>
            </w:r>
          </w:p>
        </w:tc>
        <w:tc>
          <w:tcPr>
            <w:tcW w:w="644"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6648FCEB"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0.01</w:t>
            </w:r>
          </w:p>
        </w:tc>
        <w:tc>
          <w:tcPr>
            <w:tcW w:w="925"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191BB8B6"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0.03%</w:t>
            </w:r>
          </w:p>
        </w:tc>
        <w:tc>
          <w:tcPr>
            <w:tcW w:w="92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5789E2D3"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1.84</w:t>
            </w:r>
          </w:p>
        </w:tc>
        <w:tc>
          <w:tcPr>
            <w:tcW w:w="96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5FCFA825"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2.04%</w:t>
            </w:r>
          </w:p>
        </w:tc>
      </w:tr>
      <w:tr w:rsidRPr="00D77EB6" w:rsidR="00D77EB6" w:rsidTr="00D77EB6" w14:paraId="687F8197"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77EB6" w:rsidR="00D77EB6" w:rsidP="00D77EB6" w:rsidRDefault="00D77EB6" w14:paraId="0E752235"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mimrin</w:t>
            </w:r>
          </w:p>
        </w:tc>
        <w:tc>
          <w:tcPr>
            <w:tcW w:w="2209"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3EAE12A9"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Monkey Flower</w:t>
            </w:r>
          </w:p>
        </w:tc>
        <w:tc>
          <w:tcPr>
            <w:tcW w:w="2832" w:type="dxa"/>
            <w:tcBorders>
              <w:top w:val="nil"/>
              <w:left w:val="nil"/>
              <w:bottom w:val="single" w:color="auto" w:sz="4" w:space="0"/>
              <w:right w:val="single" w:color="auto" w:sz="4" w:space="0"/>
            </w:tcBorders>
            <w:shd w:val="clear" w:color="000000" w:fill="A9D08E"/>
            <w:noWrap/>
            <w:vAlign w:val="bottom"/>
            <w:hideMark/>
          </w:tcPr>
          <w:p w:rsidRPr="00D77EB6" w:rsidR="00D77EB6" w:rsidP="00D77EB6" w:rsidRDefault="00D77EB6" w14:paraId="370EBB35"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Mimulus ringens</w:t>
            </w:r>
          </w:p>
        </w:tc>
        <w:tc>
          <w:tcPr>
            <w:tcW w:w="644"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4B30A39D"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0.01</w:t>
            </w:r>
          </w:p>
        </w:tc>
        <w:tc>
          <w:tcPr>
            <w:tcW w:w="925"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2401A331"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0.03%</w:t>
            </w:r>
          </w:p>
        </w:tc>
        <w:tc>
          <w:tcPr>
            <w:tcW w:w="92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6DDE4A84"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8.45</w:t>
            </w:r>
          </w:p>
        </w:tc>
        <w:tc>
          <w:tcPr>
            <w:tcW w:w="96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03DDA13E"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9.39%</w:t>
            </w:r>
          </w:p>
        </w:tc>
      </w:tr>
      <w:tr w:rsidRPr="00D77EB6" w:rsidR="00D77EB6" w:rsidTr="00D77EB6" w14:paraId="2154608B"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77EB6" w:rsidR="00D77EB6" w:rsidP="00D77EB6" w:rsidRDefault="00D77EB6" w14:paraId="7E9B754A"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pycvir</w:t>
            </w:r>
          </w:p>
        </w:tc>
        <w:tc>
          <w:tcPr>
            <w:tcW w:w="2209"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2CEF8641"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Virginia Mountain Mint</w:t>
            </w:r>
          </w:p>
        </w:tc>
        <w:tc>
          <w:tcPr>
            <w:tcW w:w="2832" w:type="dxa"/>
            <w:tcBorders>
              <w:top w:val="nil"/>
              <w:left w:val="nil"/>
              <w:bottom w:val="single" w:color="auto" w:sz="4" w:space="0"/>
              <w:right w:val="single" w:color="auto" w:sz="4" w:space="0"/>
            </w:tcBorders>
            <w:shd w:val="clear" w:color="000000" w:fill="A9D08E"/>
            <w:noWrap/>
            <w:vAlign w:val="bottom"/>
            <w:hideMark/>
          </w:tcPr>
          <w:p w:rsidRPr="00D77EB6" w:rsidR="00D77EB6" w:rsidP="00D77EB6" w:rsidRDefault="00D77EB6" w14:paraId="7BFE3484"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Pycnanthemum virginianum</w:t>
            </w:r>
          </w:p>
        </w:tc>
        <w:tc>
          <w:tcPr>
            <w:tcW w:w="644"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6231A20A"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0.01</w:t>
            </w:r>
          </w:p>
        </w:tc>
        <w:tc>
          <w:tcPr>
            <w:tcW w:w="925"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25223DAA"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0.03%</w:t>
            </w:r>
          </w:p>
        </w:tc>
        <w:tc>
          <w:tcPr>
            <w:tcW w:w="92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2DA4690B"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0.81</w:t>
            </w:r>
          </w:p>
        </w:tc>
        <w:tc>
          <w:tcPr>
            <w:tcW w:w="96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175E8D03"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0.90%</w:t>
            </w:r>
          </w:p>
        </w:tc>
      </w:tr>
      <w:tr w:rsidRPr="00D77EB6" w:rsidR="00D77EB6" w:rsidTr="00D77EB6" w14:paraId="08244C08"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77EB6" w:rsidR="00D77EB6" w:rsidP="00D77EB6" w:rsidRDefault="00D77EB6" w14:paraId="3D086DAB"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silper</w:t>
            </w:r>
          </w:p>
        </w:tc>
        <w:tc>
          <w:tcPr>
            <w:tcW w:w="2209"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0764034E"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Cup Plant</w:t>
            </w:r>
          </w:p>
        </w:tc>
        <w:tc>
          <w:tcPr>
            <w:tcW w:w="2832" w:type="dxa"/>
            <w:tcBorders>
              <w:top w:val="nil"/>
              <w:left w:val="nil"/>
              <w:bottom w:val="single" w:color="auto" w:sz="4" w:space="0"/>
              <w:right w:val="single" w:color="auto" w:sz="4" w:space="0"/>
            </w:tcBorders>
            <w:shd w:val="clear" w:color="000000" w:fill="A9D08E"/>
            <w:noWrap/>
            <w:vAlign w:val="bottom"/>
            <w:hideMark/>
          </w:tcPr>
          <w:p w:rsidRPr="00D77EB6" w:rsidR="00D77EB6" w:rsidP="00D77EB6" w:rsidRDefault="00D77EB6" w14:paraId="22DF7412"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Silphium perfoliatum</w:t>
            </w:r>
          </w:p>
        </w:tc>
        <w:tc>
          <w:tcPr>
            <w:tcW w:w="644"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71749ADF"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0.04</w:t>
            </w:r>
          </w:p>
        </w:tc>
        <w:tc>
          <w:tcPr>
            <w:tcW w:w="925"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21665007"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0.12%</w:t>
            </w:r>
          </w:p>
        </w:tc>
        <w:tc>
          <w:tcPr>
            <w:tcW w:w="92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6D18EF7C"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0.02</w:t>
            </w:r>
          </w:p>
        </w:tc>
        <w:tc>
          <w:tcPr>
            <w:tcW w:w="96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70A86B2B"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0.02%</w:t>
            </w:r>
          </w:p>
        </w:tc>
      </w:tr>
      <w:tr w:rsidRPr="00D77EB6" w:rsidR="00D77EB6" w:rsidTr="00D77EB6" w14:paraId="22AA0135"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77EB6" w:rsidR="00D77EB6" w:rsidP="00D77EB6" w:rsidRDefault="00D77EB6" w14:paraId="738588AC"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symlan</w:t>
            </w:r>
          </w:p>
        </w:tc>
        <w:tc>
          <w:tcPr>
            <w:tcW w:w="2209"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64D93068"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Panicled Aster</w:t>
            </w:r>
          </w:p>
        </w:tc>
        <w:tc>
          <w:tcPr>
            <w:tcW w:w="2832" w:type="dxa"/>
            <w:tcBorders>
              <w:top w:val="nil"/>
              <w:left w:val="nil"/>
              <w:bottom w:val="single" w:color="auto" w:sz="4" w:space="0"/>
              <w:right w:val="single" w:color="auto" w:sz="4" w:space="0"/>
            </w:tcBorders>
            <w:shd w:val="clear" w:color="000000" w:fill="A9D08E"/>
            <w:noWrap/>
            <w:vAlign w:val="bottom"/>
            <w:hideMark/>
          </w:tcPr>
          <w:p w:rsidRPr="00D77EB6" w:rsidR="00D77EB6" w:rsidP="00D77EB6" w:rsidRDefault="00D77EB6" w14:paraId="7B2304C8"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Symphyotrichum lanceolatum</w:t>
            </w:r>
          </w:p>
        </w:tc>
        <w:tc>
          <w:tcPr>
            <w:tcW w:w="644"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097B684B"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0.01</w:t>
            </w:r>
          </w:p>
        </w:tc>
        <w:tc>
          <w:tcPr>
            <w:tcW w:w="925"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5E5CADA2"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0.03%</w:t>
            </w:r>
          </w:p>
        </w:tc>
        <w:tc>
          <w:tcPr>
            <w:tcW w:w="92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247DF605"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0.57</w:t>
            </w:r>
          </w:p>
        </w:tc>
        <w:tc>
          <w:tcPr>
            <w:tcW w:w="96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0F53F350"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0.64%</w:t>
            </w:r>
          </w:p>
        </w:tc>
      </w:tr>
      <w:tr w:rsidRPr="00D77EB6" w:rsidR="00D77EB6" w:rsidTr="00D77EB6" w14:paraId="4A4F5B85"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77EB6" w:rsidR="00D77EB6" w:rsidP="00D77EB6" w:rsidRDefault="00D77EB6" w14:paraId="6EFD0A1E"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symnov</w:t>
            </w:r>
          </w:p>
        </w:tc>
        <w:tc>
          <w:tcPr>
            <w:tcW w:w="2209"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7C7A261E"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New England Aster</w:t>
            </w:r>
          </w:p>
        </w:tc>
        <w:tc>
          <w:tcPr>
            <w:tcW w:w="2832" w:type="dxa"/>
            <w:tcBorders>
              <w:top w:val="nil"/>
              <w:left w:val="nil"/>
              <w:bottom w:val="single" w:color="auto" w:sz="4" w:space="0"/>
              <w:right w:val="single" w:color="auto" w:sz="4" w:space="0"/>
            </w:tcBorders>
            <w:shd w:val="clear" w:color="000000" w:fill="A9D08E"/>
            <w:noWrap/>
            <w:vAlign w:val="bottom"/>
            <w:hideMark/>
          </w:tcPr>
          <w:p w:rsidRPr="00D77EB6" w:rsidR="00D77EB6" w:rsidP="00D77EB6" w:rsidRDefault="00D77EB6" w14:paraId="75154B99"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Symphyotrichum novae-angliae</w:t>
            </w:r>
          </w:p>
        </w:tc>
        <w:tc>
          <w:tcPr>
            <w:tcW w:w="644"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4D0232C7"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0.01</w:t>
            </w:r>
          </w:p>
        </w:tc>
        <w:tc>
          <w:tcPr>
            <w:tcW w:w="925"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6862E26B"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0.03%</w:t>
            </w:r>
          </w:p>
        </w:tc>
        <w:tc>
          <w:tcPr>
            <w:tcW w:w="92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349512D1"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0.24</w:t>
            </w:r>
          </w:p>
        </w:tc>
        <w:tc>
          <w:tcPr>
            <w:tcW w:w="96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55FF9DA3"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0.27%</w:t>
            </w:r>
          </w:p>
        </w:tc>
      </w:tr>
      <w:tr w:rsidRPr="00D77EB6" w:rsidR="00D77EB6" w:rsidTr="00D77EB6" w14:paraId="2F4DBC98"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77EB6" w:rsidR="00D77EB6" w:rsidP="00D77EB6" w:rsidRDefault="00D77EB6" w14:paraId="6176C6F8"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lastRenderedPageBreak/>
              <w:t>verhas</w:t>
            </w:r>
          </w:p>
        </w:tc>
        <w:tc>
          <w:tcPr>
            <w:tcW w:w="2209"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24BC0724"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Blue Vervain</w:t>
            </w:r>
          </w:p>
        </w:tc>
        <w:tc>
          <w:tcPr>
            <w:tcW w:w="2832" w:type="dxa"/>
            <w:tcBorders>
              <w:top w:val="nil"/>
              <w:left w:val="nil"/>
              <w:bottom w:val="single" w:color="auto" w:sz="4" w:space="0"/>
              <w:right w:val="single" w:color="auto" w:sz="4" w:space="0"/>
            </w:tcBorders>
            <w:shd w:val="clear" w:color="000000" w:fill="A9D08E"/>
            <w:noWrap/>
            <w:vAlign w:val="bottom"/>
            <w:hideMark/>
          </w:tcPr>
          <w:p w:rsidRPr="00D77EB6" w:rsidR="00D77EB6" w:rsidP="00D77EB6" w:rsidRDefault="00D77EB6" w14:paraId="5C6AAAE5"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Verbena hastata</w:t>
            </w:r>
          </w:p>
        </w:tc>
        <w:tc>
          <w:tcPr>
            <w:tcW w:w="644"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032B0396"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0.01</w:t>
            </w:r>
          </w:p>
        </w:tc>
        <w:tc>
          <w:tcPr>
            <w:tcW w:w="925"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243556A7"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0.03%</w:t>
            </w:r>
          </w:p>
        </w:tc>
        <w:tc>
          <w:tcPr>
            <w:tcW w:w="92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2D4A1140"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0.34</w:t>
            </w:r>
          </w:p>
        </w:tc>
        <w:tc>
          <w:tcPr>
            <w:tcW w:w="96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0D8480CC"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0.38%</w:t>
            </w:r>
          </w:p>
        </w:tc>
      </w:tr>
      <w:tr w:rsidRPr="00D77EB6" w:rsidR="00D77EB6" w:rsidTr="00D77EB6" w14:paraId="18D1B3F4"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77EB6" w:rsidR="00D77EB6" w:rsidP="00D77EB6" w:rsidRDefault="00D77EB6" w14:paraId="5448ECAF"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zizaur</w:t>
            </w:r>
          </w:p>
        </w:tc>
        <w:tc>
          <w:tcPr>
            <w:tcW w:w="2209"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0CACCAC5"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Golden Alexanders</w:t>
            </w:r>
          </w:p>
        </w:tc>
        <w:tc>
          <w:tcPr>
            <w:tcW w:w="2832" w:type="dxa"/>
            <w:tcBorders>
              <w:top w:val="nil"/>
              <w:left w:val="nil"/>
              <w:bottom w:val="single" w:color="auto" w:sz="4" w:space="0"/>
              <w:right w:val="single" w:color="auto" w:sz="4" w:space="0"/>
            </w:tcBorders>
            <w:shd w:val="clear" w:color="000000" w:fill="A9D08E"/>
            <w:noWrap/>
            <w:vAlign w:val="bottom"/>
            <w:hideMark/>
          </w:tcPr>
          <w:p w:rsidRPr="00D77EB6" w:rsidR="00D77EB6" w:rsidP="00D77EB6" w:rsidRDefault="00D77EB6" w14:paraId="5BEBAF32"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Zizia aurea</w:t>
            </w:r>
          </w:p>
        </w:tc>
        <w:tc>
          <w:tcPr>
            <w:tcW w:w="644"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7BAD03E0"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0.05</w:t>
            </w:r>
          </w:p>
        </w:tc>
        <w:tc>
          <w:tcPr>
            <w:tcW w:w="925"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377AAC1A"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0.15%</w:t>
            </w:r>
          </w:p>
        </w:tc>
        <w:tc>
          <w:tcPr>
            <w:tcW w:w="92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78292182"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0.20</w:t>
            </w:r>
          </w:p>
        </w:tc>
        <w:tc>
          <w:tcPr>
            <w:tcW w:w="96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5CF75DAE"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0.22%</w:t>
            </w:r>
          </w:p>
        </w:tc>
      </w:tr>
      <w:tr w:rsidRPr="00D77EB6" w:rsidR="00D77EB6" w:rsidTr="00D77EB6" w14:paraId="32372848" w14:textId="77777777">
        <w:trPr>
          <w:trHeight w:val="255"/>
        </w:trPr>
        <w:tc>
          <w:tcPr>
            <w:tcW w:w="820" w:type="dxa"/>
            <w:tcBorders>
              <w:top w:val="nil"/>
              <w:left w:val="single" w:color="auto" w:sz="4" w:space="0"/>
              <w:bottom w:val="single" w:color="auto" w:sz="4" w:space="0"/>
              <w:right w:val="single" w:color="auto" w:sz="4" w:space="0"/>
            </w:tcBorders>
            <w:shd w:val="clear" w:color="000000" w:fill="9BC2E6"/>
            <w:noWrap/>
            <w:vAlign w:val="bottom"/>
            <w:hideMark/>
          </w:tcPr>
          <w:p w:rsidRPr="00D77EB6" w:rsidR="00D77EB6" w:rsidP="00D77EB6" w:rsidRDefault="00D77EB6" w14:paraId="3FF16604" w14:textId="77777777">
            <w:pPr>
              <w:rPr>
                <w:rFonts w:ascii="Arial" w:hAnsi="Arial" w:eastAsia="Times New Roman" w:cs="Arial"/>
                <w:b/>
                <w:bCs/>
                <w:color w:val="000000"/>
                <w:sz w:val="20"/>
                <w:szCs w:val="20"/>
              </w:rPr>
            </w:pPr>
            <w:r w:rsidRPr="00D77EB6">
              <w:rPr>
                <w:rFonts w:ascii="Arial" w:hAnsi="Arial" w:eastAsia="Times New Roman" w:cs="Arial"/>
                <w:b/>
                <w:bCs/>
                <w:color w:val="000000"/>
                <w:sz w:val="20"/>
                <w:szCs w:val="20"/>
              </w:rPr>
              <w:t> </w:t>
            </w:r>
          </w:p>
        </w:tc>
        <w:tc>
          <w:tcPr>
            <w:tcW w:w="2209" w:type="dxa"/>
            <w:tcBorders>
              <w:top w:val="nil"/>
              <w:left w:val="nil"/>
              <w:bottom w:val="single" w:color="auto" w:sz="4" w:space="0"/>
              <w:right w:val="single" w:color="auto" w:sz="4" w:space="0"/>
            </w:tcBorders>
            <w:shd w:val="clear" w:color="000000" w:fill="9BC2E6"/>
            <w:noWrap/>
            <w:vAlign w:val="bottom"/>
            <w:hideMark/>
          </w:tcPr>
          <w:p w:rsidRPr="00D77EB6" w:rsidR="00D77EB6" w:rsidP="00D77EB6" w:rsidRDefault="00D77EB6" w14:paraId="2AE38125" w14:textId="77777777">
            <w:pPr>
              <w:rPr>
                <w:rFonts w:ascii="Arial" w:hAnsi="Arial" w:eastAsia="Times New Roman" w:cs="Arial"/>
                <w:b/>
                <w:bCs/>
                <w:color w:val="000000"/>
                <w:sz w:val="20"/>
                <w:szCs w:val="20"/>
              </w:rPr>
            </w:pPr>
            <w:r w:rsidRPr="00D77EB6">
              <w:rPr>
                <w:rFonts w:ascii="Arial" w:hAnsi="Arial" w:eastAsia="Times New Roman" w:cs="Arial"/>
                <w:b/>
                <w:bCs/>
                <w:color w:val="000000"/>
                <w:sz w:val="20"/>
                <w:szCs w:val="20"/>
              </w:rPr>
              <w:t> </w:t>
            </w:r>
          </w:p>
        </w:tc>
        <w:tc>
          <w:tcPr>
            <w:tcW w:w="2832" w:type="dxa"/>
            <w:tcBorders>
              <w:top w:val="nil"/>
              <w:left w:val="nil"/>
              <w:bottom w:val="single" w:color="auto" w:sz="4" w:space="0"/>
              <w:right w:val="single" w:color="auto" w:sz="4" w:space="0"/>
            </w:tcBorders>
            <w:shd w:val="clear" w:color="000000" w:fill="9BC2E6"/>
            <w:noWrap/>
            <w:vAlign w:val="bottom"/>
            <w:hideMark/>
          </w:tcPr>
          <w:p w:rsidRPr="00D77EB6" w:rsidR="00D77EB6" w:rsidP="00D77EB6" w:rsidRDefault="00D77EB6" w14:paraId="74DE2C2C" w14:textId="77777777">
            <w:pPr>
              <w:rPr>
                <w:rFonts w:ascii="Arial" w:hAnsi="Arial" w:eastAsia="Times New Roman" w:cs="Arial"/>
                <w:b/>
                <w:bCs/>
                <w:color w:val="000000"/>
                <w:sz w:val="20"/>
                <w:szCs w:val="20"/>
              </w:rPr>
            </w:pPr>
            <w:r w:rsidRPr="00D77EB6">
              <w:rPr>
                <w:rFonts w:ascii="Arial" w:hAnsi="Arial" w:eastAsia="Times New Roman" w:cs="Arial"/>
                <w:b/>
                <w:bCs/>
                <w:color w:val="000000"/>
                <w:sz w:val="20"/>
                <w:szCs w:val="20"/>
              </w:rPr>
              <w:t>Forbs Subtotal</w:t>
            </w:r>
          </w:p>
        </w:tc>
        <w:tc>
          <w:tcPr>
            <w:tcW w:w="644" w:type="dxa"/>
            <w:tcBorders>
              <w:top w:val="nil"/>
              <w:left w:val="nil"/>
              <w:bottom w:val="single" w:color="auto" w:sz="4" w:space="0"/>
              <w:right w:val="single" w:color="auto" w:sz="4" w:space="0"/>
            </w:tcBorders>
            <w:shd w:val="clear" w:color="000000" w:fill="9BC2E6"/>
            <w:noWrap/>
            <w:vAlign w:val="bottom"/>
            <w:hideMark/>
          </w:tcPr>
          <w:p w:rsidRPr="00D77EB6" w:rsidR="00D77EB6" w:rsidP="00D77EB6" w:rsidRDefault="00D77EB6" w14:paraId="0A519BFC" w14:textId="77777777">
            <w:pPr>
              <w:jc w:val="right"/>
              <w:rPr>
                <w:rFonts w:ascii="Arial" w:hAnsi="Arial" w:eastAsia="Times New Roman" w:cs="Arial"/>
                <w:b/>
                <w:bCs/>
                <w:color w:val="000000"/>
                <w:sz w:val="20"/>
                <w:szCs w:val="20"/>
              </w:rPr>
            </w:pPr>
            <w:r w:rsidRPr="00D77EB6">
              <w:rPr>
                <w:rFonts w:ascii="Arial" w:hAnsi="Arial" w:eastAsia="Times New Roman" w:cs="Arial"/>
                <w:b/>
                <w:bCs/>
                <w:color w:val="000000"/>
                <w:sz w:val="20"/>
                <w:szCs w:val="20"/>
              </w:rPr>
              <w:t>0.30</w:t>
            </w:r>
          </w:p>
        </w:tc>
        <w:tc>
          <w:tcPr>
            <w:tcW w:w="925" w:type="dxa"/>
            <w:tcBorders>
              <w:top w:val="nil"/>
              <w:left w:val="nil"/>
              <w:bottom w:val="single" w:color="auto" w:sz="4" w:space="0"/>
              <w:right w:val="single" w:color="auto" w:sz="4" w:space="0"/>
            </w:tcBorders>
            <w:shd w:val="clear" w:color="000000" w:fill="9BC2E6"/>
            <w:noWrap/>
            <w:vAlign w:val="bottom"/>
            <w:hideMark/>
          </w:tcPr>
          <w:p w:rsidRPr="00D77EB6" w:rsidR="00D77EB6" w:rsidP="00D77EB6" w:rsidRDefault="00D77EB6" w14:paraId="77D9B9BB" w14:textId="77777777">
            <w:pPr>
              <w:jc w:val="right"/>
              <w:rPr>
                <w:rFonts w:ascii="Arial" w:hAnsi="Arial" w:eastAsia="Times New Roman" w:cs="Arial"/>
                <w:b/>
                <w:bCs/>
                <w:color w:val="000000"/>
                <w:sz w:val="20"/>
                <w:szCs w:val="20"/>
              </w:rPr>
            </w:pPr>
            <w:r w:rsidRPr="00D77EB6">
              <w:rPr>
                <w:rFonts w:ascii="Arial" w:hAnsi="Arial" w:eastAsia="Times New Roman" w:cs="Arial"/>
                <w:b/>
                <w:bCs/>
                <w:color w:val="000000"/>
                <w:sz w:val="20"/>
                <w:szCs w:val="20"/>
              </w:rPr>
              <w:t>0.93%</w:t>
            </w:r>
          </w:p>
        </w:tc>
        <w:tc>
          <w:tcPr>
            <w:tcW w:w="920" w:type="dxa"/>
            <w:tcBorders>
              <w:top w:val="nil"/>
              <w:left w:val="nil"/>
              <w:bottom w:val="single" w:color="auto" w:sz="4" w:space="0"/>
              <w:right w:val="single" w:color="auto" w:sz="4" w:space="0"/>
            </w:tcBorders>
            <w:shd w:val="clear" w:color="000000" w:fill="9BC2E6"/>
            <w:noWrap/>
            <w:vAlign w:val="bottom"/>
            <w:hideMark/>
          </w:tcPr>
          <w:p w:rsidRPr="00D77EB6" w:rsidR="00D77EB6" w:rsidP="00D77EB6" w:rsidRDefault="00D77EB6" w14:paraId="76B73B0F" w14:textId="77777777">
            <w:pPr>
              <w:jc w:val="right"/>
              <w:rPr>
                <w:rFonts w:ascii="Arial" w:hAnsi="Arial" w:eastAsia="Times New Roman" w:cs="Arial"/>
                <w:b/>
                <w:bCs/>
                <w:color w:val="000000"/>
                <w:sz w:val="20"/>
                <w:szCs w:val="20"/>
              </w:rPr>
            </w:pPr>
            <w:r w:rsidRPr="00D77EB6">
              <w:rPr>
                <w:rFonts w:ascii="Arial" w:hAnsi="Arial" w:eastAsia="Times New Roman" w:cs="Arial"/>
                <w:b/>
                <w:bCs/>
                <w:color w:val="000000"/>
                <w:sz w:val="20"/>
                <w:szCs w:val="20"/>
              </w:rPr>
              <w:t>16.33</w:t>
            </w:r>
          </w:p>
        </w:tc>
        <w:tc>
          <w:tcPr>
            <w:tcW w:w="960" w:type="dxa"/>
            <w:tcBorders>
              <w:top w:val="nil"/>
              <w:left w:val="nil"/>
              <w:bottom w:val="single" w:color="auto" w:sz="4" w:space="0"/>
              <w:right w:val="single" w:color="auto" w:sz="4" w:space="0"/>
            </w:tcBorders>
            <w:shd w:val="clear" w:color="000000" w:fill="9BC2E6"/>
            <w:noWrap/>
            <w:vAlign w:val="bottom"/>
            <w:hideMark/>
          </w:tcPr>
          <w:p w:rsidRPr="00D77EB6" w:rsidR="00D77EB6" w:rsidP="00D77EB6" w:rsidRDefault="00D77EB6" w14:paraId="6E619FAA" w14:textId="77777777">
            <w:pPr>
              <w:jc w:val="right"/>
              <w:rPr>
                <w:rFonts w:ascii="Arial" w:hAnsi="Arial" w:eastAsia="Times New Roman" w:cs="Arial"/>
                <w:b/>
                <w:bCs/>
                <w:color w:val="000000"/>
                <w:sz w:val="20"/>
                <w:szCs w:val="20"/>
              </w:rPr>
            </w:pPr>
            <w:r w:rsidRPr="00D77EB6">
              <w:rPr>
                <w:rFonts w:ascii="Arial" w:hAnsi="Arial" w:eastAsia="Times New Roman" w:cs="Arial"/>
                <w:b/>
                <w:bCs/>
                <w:color w:val="000000"/>
                <w:sz w:val="20"/>
                <w:szCs w:val="20"/>
              </w:rPr>
              <w:t>18.14%</w:t>
            </w:r>
          </w:p>
        </w:tc>
      </w:tr>
      <w:tr w:rsidRPr="00D77EB6" w:rsidR="00D77EB6" w:rsidTr="00D77EB6" w14:paraId="27466F3A" w14:textId="77777777">
        <w:trPr>
          <w:trHeight w:val="255"/>
        </w:trPr>
        <w:tc>
          <w:tcPr>
            <w:tcW w:w="820" w:type="dxa"/>
            <w:tcBorders>
              <w:top w:val="nil"/>
              <w:left w:val="single" w:color="auto" w:sz="4" w:space="0"/>
              <w:bottom w:val="single" w:color="auto" w:sz="4" w:space="0"/>
              <w:right w:val="single" w:color="auto" w:sz="4" w:space="0"/>
            </w:tcBorders>
            <w:shd w:val="clear" w:color="auto" w:fill="auto"/>
            <w:noWrap/>
            <w:vAlign w:val="bottom"/>
            <w:hideMark/>
          </w:tcPr>
          <w:p w:rsidRPr="00D77EB6" w:rsidR="00D77EB6" w:rsidP="00D77EB6" w:rsidRDefault="00D77EB6" w14:paraId="09111ED0"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cover</w:t>
            </w:r>
          </w:p>
        </w:tc>
        <w:tc>
          <w:tcPr>
            <w:tcW w:w="2209"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70D7BE11"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Oats/Winter Wheat</w:t>
            </w:r>
          </w:p>
        </w:tc>
        <w:tc>
          <w:tcPr>
            <w:tcW w:w="2832" w:type="dxa"/>
            <w:tcBorders>
              <w:top w:val="nil"/>
              <w:left w:val="nil"/>
              <w:bottom w:val="single" w:color="auto" w:sz="4" w:space="0"/>
              <w:right w:val="single" w:color="auto" w:sz="4" w:space="0"/>
            </w:tcBorders>
            <w:shd w:val="clear" w:color="000000" w:fill="A9D08E"/>
            <w:noWrap/>
            <w:vAlign w:val="bottom"/>
            <w:hideMark/>
          </w:tcPr>
          <w:p w:rsidRPr="00D77EB6" w:rsidR="00D77EB6" w:rsidP="00D77EB6" w:rsidRDefault="00D77EB6" w14:paraId="1FA38E56" w14:textId="77777777">
            <w:pPr>
              <w:rPr>
                <w:rFonts w:ascii="Arial" w:hAnsi="Arial" w:eastAsia="Times New Roman" w:cs="Arial"/>
                <w:color w:val="000000"/>
                <w:sz w:val="20"/>
                <w:szCs w:val="20"/>
              </w:rPr>
            </w:pPr>
            <w:r w:rsidRPr="00D77EB6">
              <w:rPr>
                <w:rFonts w:ascii="Arial" w:hAnsi="Arial" w:eastAsia="Times New Roman" w:cs="Arial"/>
                <w:color w:val="000000"/>
                <w:sz w:val="20"/>
                <w:szCs w:val="20"/>
              </w:rPr>
              <w:t>Avena sativa/Triticum aestivum</w:t>
            </w:r>
          </w:p>
        </w:tc>
        <w:tc>
          <w:tcPr>
            <w:tcW w:w="644"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60982BF8"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25.00</w:t>
            </w:r>
          </w:p>
        </w:tc>
        <w:tc>
          <w:tcPr>
            <w:tcW w:w="925"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48DBA1CF"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77.16%</w:t>
            </w:r>
          </w:p>
        </w:tc>
        <w:tc>
          <w:tcPr>
            <w:tcW w:w="92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2CDB5E70"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11.14</w:t>
            </w:r>
          </w:p>
        </w:tc>
        <w:tc>
          <w:tcPr>
            <w:tcW w:w="960" w:type="dxa"/>
            <w:tcBorders>
              <w:top w:val="nil"/>
              <w:left w:val="nil"/>
              <w:bottom w:val="single" w:color="auto" w:sz="4" w:space="0"/>
              <w:right w:val="single" w:color="auto" w:sz="4" w:space="0"/>
            </w:tcBorders>
            <w:shd w:val="clear" w:color="auto" w:fill="auto"/>
            <w:noWrap/>
            <w:vAlign w:val="bottom"/>
            <w:hideMark/>
          </w:tcPr>
          <w:p w:rsidRPr="00D77EB6" w:rsidR="00D77EB6" w:rsidP="00D77EB6" w:rsidRDefault="00D77EB6" w14:paraId="76C2B92A" w14:textId="77777777">
            <w:pPr>
              <w:jc w:val="right"/>
              <w:rPr>
                <w:rFonts w:ascii="Arial" w:hAnsi="Arial" w:eastAsia="Times New Roman" w:cs="Arial"/>
                <w:color w:val="000000"/>
                <w:sz w:val="20"/>
                <w:szCs w:val="20"/>
              </w:rPr>
            </w:pPr>
            <w:r w:rsidRPr="00D77EB6">
              <w:rPr>
                <w:rFonts w:ascii="Arial" w:hAnsi="Arial" w:eastAsia="Times New Roman" w:cs="Arial"/>
                <w:color w:val="000000"/>
                <w:sz w:val="20"/>
                <w:szCs w:val="20"/>
              </w:rPr>
              <w:t>12.37%</w:t>
            </w:r>
          </w:p>
        </w:tc>
      </w:tr>
      <w:tr w:rsidRPr="00D77EB6" w:rsidR="00D77EB6" w:rsidTr="00D77EB6" w14:paraId="66AABFF2" w14:textId="77777777">
        <w:trPr>
          <w:trHeight w:val="255"/>
        </w:trPr>
        <w:tc>
          <w:tcPr>
            <w:tcW w:w="820" w:type="dxa"/>
            <w:tcBorders>
              <w:top w:val="nil"/>
              <w:left w:val="single" w:color="auto" w:sz="4" w:space="0"/>
              <w:bottom w:val="single" w:color="auto" w:sz="4" w:space="0"/>
              <w:right w:val="single" w:color="auto" w:sz="4" w:space="0"/>
            </w:tcBorders>
            <w:shd w:val="clear" w:color="000000" w:fill="9BC2E6"/>
            <w:noWrap/>
            <w:vAlign w:val="bottom"/>
            <w:hideMark/>
          </w:tcPr>
          <w:p w:rsidRPr="00D77EB6" w:rsidR="00D77EB6" w:rsidP="00D77EB6" w:rsidRDefault="00D77EB6" w14:paraId="5425DE5C" w14:textId="77777777">
            <w:pPr>
              <w:rPr>
                <w:rFonts w:ascii="Arial" w:hAnsi="Arial" w:eastAsia="Times New Roman" w:cs="Arial"/>
                <w:b/>
                <w:bCs/>
                <w:color w:val="000000"/>
                <w:sz w:val="20"/>
                <w:szCs w:val="20"/>
              </w:rPr>
            </w:pPr>
            <w:r w:rsidRPr="00D77EB6">
              <w:rPr>
                <w:rFonts w:ascii="Arial" w:hAnsi="Arial" w:eastAsia="Times New Roman" w:cs="Arial"/>
                <w:b/>
                <w:bCs/>
                <w:color w:val="000000"/>
                <w:sz w:val="20"/>
                <w:szCs w:val="20"/>
              </w:rPr>
              <w:t> </w:t>
            </w:r>
          </w:p>
        </w:tc>
        <w:tc>
          <w:tcPr>
            <w:tcW w:w="2209" w:type="dxa"/>
            <w:tcBorders>
              <w:top w:val="nil"/>
              <w:left w:val="nil"/>
              <w:bottom w:val="single" w:color="auto" w:sz="4" w:space="0"/>
              <w:right w:val="single" w:color="auto" w:sz="4" w:space="0"/>
            </w:tcBorders>
            <w:shd w:val="clear" w:color="000000" w:fill="9BC2E6"/>
            <w:noWrap/>
            <w:vAlign w:val="bottom"/>
            <w:hideMark/>
          </w:tcPr>
          <w:p w:rsidRPr="00D77EB6" w:rsidR="00D77EB6" w:rsidP="00D77EB6" w:rsidRDefault="00D77EB6" w14:paraId="4BD0448A" w14:textId="77777777">
            <w:pPr>
              <w:rPr>
                <w:rFonts w:ascii="Arial" w:hAnsi="Arial" w:eastAsia="Times New Roman" w:cs="Arial"/>
                <w:b/>
                <w:bCs/>
                <w:color w:val="000000"/>
                <w:sz w:val="20"/>
                <w:szCs w:val="20"/>
              </w:rPr>
            </w:pPr>
            <w:r w:rsidRPr="00D77EB6">
              <w:rPr>
                <w:rFonts w:ascii="Arial" w:hAnsi="Arial" w:eastAsia="Times New Roman" w:cs="Arial"/>
                <w:b/>
                <w:bCs/>
                <w:color w:val="000000"/>
                <w:sz w:val="20"/>
                <w:szCs w:val="20"/>
              </w:rPr>
              <w:t> </w:t>
            </w:r>
          </w:p>
        </w:tc>
        <w:tc>
          <w:tcPr>
            <w:tcW w:w="2832" w:type="dxa"/>
            <w:tcBorders>
              <w:top w:val="nil"/>
              <w:left w:val="nil"/>
              <w:bottom w:val="single" w:color="auto" w:sz="4" w:space="0"/>
              <w:right w:val="single" w:color="auto" w:sz="4" w:space="0"/>
            </w:tcBorders>
            <w:shd w:val="clear" w:color="000000" w:fill="9BC2E6"/>
            <w:noWrap/>
            <w:vAlign w:val="bottom"/>
            <w:hideMark/>
          </w:tcPr>
          <w:p w:rsidRPr="00D77EB6" w:rsidR="00D77EB6" w:rsidP="00D77EB6" w:rsidRDefault="00D77EB6" w14:paraId="0FE2492A" w14:textId="77777777">
            <w:pPr>
              <w:rPr>
                <w:rFonts w:ascii="Arial" w:hAnsi="Arial" w:eastAsia="Times New Roman" w:cs="Arial"/>
                <w:b/>
                <w:bCs/>
                <w:color w:val="000000"/>
                <w:sz w:val="20"/>
                <w:szCs w:val="20"/>
              </w:rPr>
            </w:pPr>
            <w:r w:rsidRPr="00D77EB6">
              <w:rPr>
                <w:rFonts w:ascii="Arial" w:hAnsi="Arial" w:eastAsia="Times New Roman" w:cs="Arial"/>
                <w:b/>
                <w:bCs/>
                <w:color w:val="000000"/>
                <w:sz w:val="20"/>
                <w:szCs w:val="20"/>
              </w:rPr>
              <w:t>Cover Crop Subtotal</w:t>
            </w:r>
          </w:p>
        </w:tc>
        <w:tc>
          <w:tcPr>
            <w:tcW w:w="644" w:type="dxa"/>
            <w:tcBorders>
              <w:top w:val="nil"/>
              <w:left w:val="nil"/>
              <w:bottom w:val="single" w:color="auto" w:sz="4" w:space="0"/>
              <w:right w:val="single" w:color="auto" w:sz="4" w:space="0"/>
            </w:tcBorders>
            <w:shd w:val="clear" w:color="000000" w:fill="9BC2E6"/>
            <w:noWrap/>
            <w:vAlign w:val="bottom"/>
            <w:hideMark/>
          </w:tcPr>
          <w:p w:rsidRPr="00D77EB6" w:rsidR="00D77EB6" w:rsidP="00D77EB6" w:rsidRDefault="00D77EB6" w14:paraId="771D7A5D" w14:textId="77777777">
            <w:pPr>
              <w:jc w:val="right"/>
              <w:rPr>
                <w:rFonts w:ascii="Arial" w:hAnsi="Arial" w:eastAsia="Times New Roman" w:cs="Arial"/>
                <w:b/>
                <w:bCs/>
                <w:color w:val="000000"/>
                <w:sz w:val="20"/>
                <w:szCs w:val="20"/>
              </w:rPr>
            </w:pPr>
            <w:r w:rsidRPr="00D77EB6">
              <w:rPr>
                <w:rFonts w:ascii="Arial" w:hAnsi="Arial" w:eastAsia="Times New Roman" w:cs="Arial"/>
                <w:b/>
                <w:bCs/>
                <w:color w:val="000000"/>
                <w:sz w:val="20"/>
                <w:szCs w:val="20"/>
              </w:rPr>
              <w:t>25.00</w:t>
            </w:r>
          </w:p>
        </w:tc>
        <w:tc>
          <w:tcPr>
            <w:tcW w:w="925" w:type="dxa"/>
            <w:tcBorders>
              <w:top w:val="nil"/>
              <w:left w:val="nil"/>
              <w:bottom w:val="single" w:color="auto" w:sz="4" w:space="0"/>
              <w:right w:val="single" w:color="auto" w:sz="4" w:space="0"/>
            </w:tcBorders>
            <w:shd w:val="clear" w:color="000000" w:fill="9BC2E6"/>
            <w:noWrap/>
            <w:vAlign w:val="bottom"/>
            <w:hideMark/>
          </w:tcPr>
          <w:p w:rsidRPr="00D77EB6" w:rsidR="00D77EB6" w:rsidP="00D77EB6" w:rsidRDefault="00D77EB6" w14:paraId="40EC4522" w14:textId="77777777">
            <w:pPr>
              <w:jc w:val="right"/>
              <w:rPr>
                <w:rFonts w:ascii="Arial" w:hAnsi="Arial" w:eastAsia="Times New Roman" w:cs="Arial"/>
                <w:b/>
                <w:bCs/>
                <w:color w:val="000000"/>
                <w:sz w:val="20"/>
                <w:szCs w:val="20"/>
              </w:rPr>
            </w:pPr>
            <w:r w:rsidRPr="00D77EB6">
              <w:rPr>
                <w:rFonts w:ascii="Arial" w:hAnsi="Arial" w:eastAsia="Times New Roman" w:cs="Arial"/>
                <w:b/>
                <w:bCs/>
                <w:color w:val="000000"/>
                <w:sz w:val="20"/>
                <w:szCs w:val="20"/>
              </w:rPr>
              <w:t>77.16%</w:t>
            </w:r>
          </w:p>
        </w:tc>
        <w:tc>
          <w:tcPr>
            <w:tcW w:w="920" w:type="dxa"/>
            <w:tcBorders>
              <w:top w:val="nil"/>
              <w:left w:val="nil"/>
              <w:bottom w:val="single" w:color="auto" w:sz="4" w:space="0"/>
              <w:right w:val="single" w:color="auto" w:sz="4" w:space="0"/>
            </w:tcBorders>
            <w:shd w:val="clear" w:color="000000" w:fill="9BC2E6"/>
            <w:noWrap/>
            <w:vAlign w:val="bottom"/>
            <w:hideMark/>
          </w:tcPr>
          <w:p w:rsidRPr="00D77EB6" w:rsidR="00D77EB6" w:rsidP="00D77EB6" w:rsidRDefault="00D77EB6" w14:paraId="4325133A" w14:textId="77777777">
            <w:pPr>
              <w:jc w:val="right"/>
              <w:rPr>
                <w:rFonts w:ascii="Arial" w:hAnsi="Arial" w:eastAsia="Times New Roman" w:cs="Arial"/>
                <w:b/>
                <w:bCs/>
                <w:color w:val="000000"/>
                <w:sz w:val="20"/>
                <w:szCs w:val="20"/>
              </w:rPr>
            </w:pPr>
            <w:r w:rsidRPr="00D77EB6">
              <w:rPr>
                <w:rFonts w:ascii="Arial" w:hAnsi="Arial" w:eastAsia="Times New Roman" w:cs="Arial"/>
                <w:b/>
                <w:bCs/>
                <w:color w:val="000000"/>
                <w:sz w:val="20"/>
                <w:szCs w:val="20"/>
              </w:rPr>
              <w:t>11.14</w:t>
            </w:r>
          </w:p>
        </w:tc>
        <w:tc>
          <w:tcPr>
            <w:tcW w:w="960" w:type="dxa"/>
            <w:tcBorders>
              <w:top w:val="nil"/>
              <w:left w:val="nil"/>
              <w:bottom w:val="single" w:color="auto" w:sz="4" w:space="0"/>
              <w:right w:val="single" w:color="auto" w:sz="4" w:space="0"/>
            </w:tcBorders>
            <w:shd w:val="clear" w:color="000000" w:fill="9BC2E6"/>
            <w:noWrap/>
            <w:vAlign w:val="bottom"/>
            <w:hideMark/>
          </w:tcPr>
          <w:p w:rsidRPr="00D77EB6" w:rsidR="00D77EB6" w:rsidP="00D77EB6" w:rsidRDefault="00D77EB6" w14:paraId="005F64CD" w14:textId="77777777">
            <w:pPr>
              <w:jc w:val="right"/>
              <w:rPr>
                <w:rFonts w:ascii="Arial" w:hAnsi="Arial" w:eastAsia="Times New Roman" w:cs="Arial"/>
                <w:b/>
                <w:bCs/>
                <w:color w:val="000000"/>
                <w:sz w:val="20"/>
                <w:szCs w:val="20"/>
              </w:rPr>
            </w:pPr>
            <w:r w:rsidRPr="00D77EB6">
              <w:rPr>
                <w:rFonts w:ascii="Arial" w:hAnsi="Arial" w:eastAsia="Times New Roman" w:cs="Arial"/>
                <w:b/>
                <w:bCs/>
                <w:color w:val="000000"/>
                <w:sz w:val="20"/>
                <w:szCs w:val="20"/>
              </w:rPr>
              <w:t>12.37%</w:t>
            </w:r>
          </w:p>
        </w:tc>
      </w:tr>
      <w:tr w:rsidRPr="00D77EB6" w:rsidR="00D77EB6" w:rsidTr="00D77EB6" w14:paraId="097081C7" w14:textId="77777777">
        <w:trPr>
          <w:trHeight w:val="255"/>
        </w:trPr>
        <w:tc>
          <w:tcPr>
            <w:tcW w:w="820" w:type="dxa"/>
            <w:tcBorders>
              <w:top w:val="nil"/>
              <w:left w:val="single" w:color="auto" w:sz="4" w:space="0"/>
              <w:bottom w:val="single" w:color="auto" w:sz="4" w:space="0"/>
              <w:right w:val="single" w:color="auto" w:sz="4" w:space="0"/>
            </w:tcBorders>
            <w:shd w:val="clear" w:color="000000" w:fill="9BC2E6"/>
            <w:noWrap/>
            <w:vAlign w:val="bottom"/>
            <w:hideMark/>
          </w:tcPr>
          <w:p w:rsidRPr="00D77EB6" w:rsidR="00D77EB6" w:rsidP="00D77EB6" w:rsidRDefault="00D77EB6" w14:paraId="3F929EF3" w14:textId="77777777">
            <w:pPr>
              <w:rPr>
                <w:rFonts w:ascii="Arial" w:hAnsi="Arial" w:eastAsia="Times New Roman" w:cs="Arial"/>
                <w:b/>
                <w:bCs/>
                <w:color w:val="000000"/>
                <w:sz w:val="20"/>
                <w:szCs w:val="20"/>
              </w:rPr>
            </w:pPr>
            <w:r w:rsidRPr="00D77EB6">
              <w:rPr>
                <w:rFonts w:ascii="Arial" w:hAnsi="Arial" w:eastAsia="Times New Roman" w:cs="Arial"/>
                <w:b/>
                <w:bCs/>
                <w:color w:val="000000"/>
                <w:sz w:val="20"/>
                <w:szCs w:val="20"/>
              </w:rPr>
              <w:t> </w:t>
            </w:r>
          </w:p>
        </w:tc>
        <w:tc>
          <w:tcPr>
            <w:tcW w:w="2209" w:type="dxa"/>
            <w:tcBorders>
              <w:top w:val="nil"/>
              <w:left w:val="nil"/>
              <w:bottom w:val="single" w:color="auto" w:sz="4" w:space="0"/>
              <w:right w:val="single" w:color="auto" w:sz="4" w:space="0"/>
            </w:tcBorders>
            <w:shd w:val="clear" w:color="000000" w:fill="9BC2E6"/>
            <w:noWrap/>
            <w:vAlign w:val="bottom"/>
            <w:hideMark/>
          </w:tcPr>
          <w:p w:rsidRPr="00D77EB6" w:rsidR="00D77EB6" w:rsidP="00D77EB6" w:rsidRDefault="00D77EB6" w14:paraId="76E8B80D" w14:textId="77777777">
            <w:pPr>
              <w:rPr>
                <w:rFonts w:ascii="Arial" w:hAnsi="Arial" w:eastAsia="Times New Roman" w:cs="Arial"/>
                <w:b/>
                <w:bCs/>
                <w:color w:val="000000"/>
                <w:sz w:val="20"/>
                <w:szCs w:val="20"/>
              </w:rPr>
            </w:pPr>
            <w:r w:rsidRPr="00D77EB6">
              <w:rPr>
                <w:rFonts w:ascii="Arial" w:hAnsi="Arial" w:eastAsia="Times New Roman" w:cs="Arial"/>
                <w:b/>
                <w:bCs/>
                <w:color w:val="000000"/>
                <w:sz w:val="20"/>
                <w:szCs w:val="20"/>
              </w:rPr>
              <w:t> </w:t>
            </w:r>
          </w:p>
        </w:tc>
        <w:tc>
          <w:tcPr>
            <w:tcW w:w="2832" w:type="dxa"/>
            <w:tcBorders>
              <w:top w:val="nil"/>
              <w:left w:val="nil"/>
              <w:bottom w:val="single" w:color="auto" w:sz="4" w:space="0"/>
              <w:right w:val="single" w:color="auto" w:sz="4" w:space="0"/>
            </w:tcBorders>
            <w:shd w:val="clear" w:color="000000" w:fill="9BC2E6"/>
            <w:noWrap/>
            <w:vAlign w:val="bottom"/>
            <w:hideMark/>
          </w:tcPr>
          <w:p w:rsidRPr="00D77EB6" w:rsidR="00D77EB6" w:rsidP="00D77EB6" w:rsidRDefault="00D77EB6" w14:paraId="58E9BA84" w14:textId="77777777">
            <w:pPr>
              <w:rPr>
                <w:rFonts w:ascii="Arial" w:hAnsi="Arial" w:eastAsia="Times New Roman" w:cs="Arial"/>
                <w:b/>
                <w:bCs/>
                <w:color w:val="000000"/>
                <w:sz w:val="20"/>
                <w:szCs w:val="20"/>
              </w:rPr>
            </w:pPr>
            <w:r w:rsidRPr="00D77EB6">
              <w:rPr>
                <w:rFonts w:ascii="Arial" w:hAnsi="Arial" w:eastAsia="Times New Roman" w:cs="Arial"/>
                <w:b/>
                <w:bCs/>
                <w:color w:val="000000"/>
                <w:sz w:val="20"/>
                <w:szCs w:val="20"/>
              </w:rPr>
              <w:t>Total</w:t>
            </w:r>
          </w:p>
        </w:tc>
        <w:tc>
          <w:tcPr>
            <w:tcW w:w="644" w:type="dxa"/>
            <w:tcBorders>
              <w:top w:val="nil"/>
              <w:left w:val="nil"/>
              <w:bottom w:val="single" w:color="auto" w:sz="4" w:space="0"/>
              <w:right w:val="single" w:color="auto" w:sz="4" w:space="0"/>
            </w:tcBorders>
            <w:shd w:val="clear" w:color="000000" w:fill="9BC2E6"/>
            <w:noWrap/>
            <w:vAlign w:val="bottom"/>
            <w:hideMark/>
          </w:tcPr>
          <w:p w:rsidRPr="00D77EB6" w:rsidR="00D77EB6" w:rsidP="00D77EB6" w:rsidRDefault="00D77EB6" w14:paraId="19A53418" w14:textId="77777777">
            <w:pPr>
              <w:jc w:val="right"/>
              <w:rPr>
                <w:rFonts w:ascii="Arial" w:hAnsi="Arial" w:eastAsia="Times New Roman" w:cs="Arial"/>
                <w:b/>
                <w:bCs/>
                <w:color w:val="000000"/>
                <w:sz w:val="20"/>
                <w:szCs w:val="20"/>
              </w:rPr>
            </w:pPr>
            <w:r w:rsidRPr="00D77EB6">
              <w:rPr>
                <w:rFonts w:ascii="Arial" w:hAnsi="Arial" w:eastAsia="Times New Roman" w:cs="Arial"/>
                <w:b/>
                <w:bCs/>
                <w:color w:val="000000"/>
                <w:sz w:val="20"/>
                <w:szCs w:val="20"/>
              </w:rPr>
              <w:t>32.40</w:t>
            </w:r>
          </w:p>
        </w:tc>
        <w:tc>
          <w:tcPr>
            <w:tcW w:w="925" w:type="dxa"/>
            <w:tcBorders>
              <w:top w:val="nil"/>
              <w:left w:val="nil"/>
              <w:bottom w:val="single" w:color="auto" w:sz="4" w:space="0"/>
              <w:right w:val="single" w:color="auto" w:sz="4" w:space="0"/>
            </w:tcBorders>
            <w:shd w:val="clear" w:color="000000" w:fill="9BC2E6"/>
            <w:noWrap/>
            <w:vAlign w:val="bottom"/>
            <w:hideMark/>
          </w:tcPr>
          <w:p w:rsidRPr="00D77EB6" w:rsidR="00D77EB6" w:rsidP="00D77EB6" w:rsidRDefault="00D77EB6" w14:paraId="71CC43E6" w14:textId="77777777">
            <w:pPr>
              <w:jc w:val="right"/>
              <w:rPr>
                <w:rFonts w:ascii="Arial" w:hAnsi="Arial" w:eastAsia="Times New Roman" w:cs="Arial"/>
                <w:b/>
                <w:bCs/>
                <w:color w:val="000000"/>
                <w:sz w:val="20"/>
                <w:szCs w:val="20"/>
              </w:rPr>
            </w:pPr>
            <w:r w:rsidRPr="00D77EB6">
              <w:rPr>
                <w:rFonts w:ascii="Arial" w:hAnsi="Arial" w:eastAsia="Times New Roman" w:cs="Arial"/>
                <w:b/>
                <w:bCs/>
                <w:color w:val="000000"/>
                <w:sz w:val="20"/>
                <w:szCs w:val="20"/>
              </w:rPr>
              <w:t>100.00%</w:t>
            </w:r>
          </w:p>
        </w:tc>
        <w:tc>
          <w:tcPr>
            <w:tcW w:w="920" w:type="dxa"/>
            <w:tcBorders>
              <w:top w:val="nil"/>
              <w:left w:val="nil"/>
              <w:bottom w:val="single" w:color="auto" w:sz="4" w:space="0"/>
              <w:right w:val="single" w:color="auto" w:sz="4" w:space="0"/>
            </w:tcBorders>
            <w:shd w:val="clear" w:color="000000" w:fill="9BC2E6"/>
            <w:noWrap/>
            <w:vAlign w:val="bottom"/>
            <w:hideMark/>
          </w:tcPr>
          <w:p w:rsidRPr="00D77EB6" w:rsidR="00D77EB6" w:rsidP="00D77EB6" w:rsidRDefault="00D77EB6" w14:paraId="4455BDD3" w14:textId="77777777">
            <w:pPr>
              <w:jc w:val="right"/>
              <w:rPr>
                <w:rFonts w:ascii="Arial" w:hAnsi="Arial" w:eastAsia="Times New Roman" w:cs="Arial"/>
                <w:b/>
                <w:bCs/>
                <w:color w:val="000000"/>
                <w:sz w:val="20"/>
                <w:szCs w:val="20"/>
              </w:rPr>
            </w:pPr>
            <w:r w:rsidRPr="00D77EB6">
              <w:rPr>
                <w:rFonts w:ascii="Arial" w:hAnsi="Arial" w:eastAsia="Times New Roman" w:cs="Arial"/>
                <w:b/>
                <w:bCs/>
                <w:color w:val="000000"/>
                <w:sz w:val="20"/>
                <w:szCs w:val="20"/>
              </w:rPr>
              <w:t>90.02</w:t>
            </w:r>
          </w:p>
        </w:tc>
        <w:tc>
          <w:tcPr>
            <w:tcW w:w="960" w:type="dxa"/>
            <w:tcBorders>
              <w:top w:val="nil"/>
              <w:left w:val="nil"/>
              <w:bottom w:val="single" w:color="auto" w:sz="4" w:space="0"/>
              <w:right w:val="single" w:color="auto" w:sz="4" w:space="0"/>
            </w:tcBorders>
            <w:shd w:val="clear" w:color="000000" w:fill="9BC2E6"/>
            <w:noWrap/>
            <w:vAlign w:val="bottom"/>
            <w:hideMark/>
          </w:tcPr>
          <w:p w:rsidRPr="00D77EB6" w:rsidR="00D77EB6" w:rsidP="00D77EB6" w:rsidRDefault="00D77EB6" w14:paraId="28601774" w14:textId="77777777">
            <w:pPr>
              <w:jc w:val="right"/>
              <w:rPr>
                <w:rFonts w:ascii="Arial" w:hAnsi="Arial" w:eastAsia="Times New Roman" w:cs="Arial"/>
                <w:b/>
                <w:bCs/>
                <w:color w:val="000000"/>
                <w:sz w:val="20"/>
                <w:szCs w:val="20"/>
              </w:rPr>
            </w:pPr>
            <w:r w:rsidRPr="00D77EB6">
              <w:rPr>
                <w:rFonts w:ascii="Arial" w:hAnsi="Arial" w:eastAsia="Times New Roman" w:cs="Arial"/>
                <w:b/>
                <w:bCs/>
                <w:color w:val="000000"/>
                <w:sz w:val="20"/>
                <w:szCs w:val="20"/>
              </w:rPr>
              <w:t>100.00%</w:t>
            </w:r>
          </w:p>
        </w:tc>
      </w:tr>
    </w:tbl>
    <w:p w:rsidR="00923887" w:rsidP="009005F6" w:rsidRDefault="00923887" w14:paraId="1D53EB95" w14:textId="77777777">
      <w:pPr>
        <w:rPr>
          <w:rFonts w:asciiTheme="majorHAnsi" w:hAnsiTheme="majorHAnsi" w:cstheme="majorHAnsi"/>
          <w:b/>
          <w:bCs/>
          <w:sz w:val="40"/>
          <w:szCs w:val="40"/>
        </w:rPr>
      </w:pPr>
    </w:p>
    <w:p w:rsidRPr="00913E37" w:rsidR="00913E37" w:rsidP="0D740261" w:rsidRDefault="00913E37" w14:paraId="082940B7" w14:textId="27D97702">
      <w:pPr>
        <w:spacing/>
        <w:contextualSpacing/>
        <w:rPr>
          <w:rFonts w:ascii="Calibri Light" w:hAnsi="Calibri Light" w:eastAsia="" w:cs="" w:asciiTheme="majorAscii" w:hAnsiTheme="majorAscii" w:eastAsiaTheme="majorEastAsia" w:cstheme="majorBidi"/>
          <w:noProof/>
          <w:spacing w:val="-10"/>
          <w:kern w:val="28"/>
          <w:sz w:val="56"/>
          <w:szCs w:val="56"/>
        </w:rPr>
      </w:pPr>
      <w:r w:rsidRPr="0D740261" w:rsidR="00913E37">
        <w:rPr>
          <w:rFonts w:ascii="Calibri Light" w:hAnsi="Calibri Light" w:eastAsia="" w:cs="" w:asciiTheme="majorAscii" w:hAnsiTheme="majorAscii" w:eastAsiaTheme="majorEastAsia" w:cstheme="majorBidi"/>
          <w:b w:val="1"/>
          <w:bCs w:val="1"/>
          <w:spacing w:val="-10"/>
          <w:kern w:val="28"/>
          <w:sz w:val="56"/>
          <w:szCs w:val="56"/>
        </w:rPr>
        <w:t>Seed Mix Enhancements or</w:t>
      </w:r>
      <w:r w:rsidRPr="0D740261" w:rsidR="1375510E">
        <w:rPr>
          <w:rFonts w:ascii="Calibri Light" w:hAnsi="Calibri Light" w:eastAsia="" w:cs="" w:asciiTheme="majorAscii" w:hAnsiTheme="majorAscii" w:eastAsiaTheme="majorEastAsia" w:cstheme="majorBidi"/>
          <w:b w:val="1"/>
          <w:bCs w:val="1"/>
          <w:spacing w:val="-10"/>
          <w:kern w:val="28"/>
          <w:sz w:val="56"/>
          <w:szCs w:val="56"/>
        </w:rPr>
        <w:t xml:space="preserve"> </w:t>
      </w:r>
      <w:r w:rsidRPr="0D740261" w:rsidR="00913E37">
        <w:rPr>
          <w:rFonts w:ascii="Calibri Light" w:hAnsi="Calibri Light" w:eastAsia="" w:cs="" w:asciiTheme="majorAscii" w:hAnsiTheme="majorAscii" w:eastAsiaTheme="majorEastAsia" w:cstheme="majorBidi"/>
          <w:b w:val="1"/>
          <w:bCs w:val="1"/>
          <w:spacing w:val="-10"/>
          <w:kern w:val="28"/>
          <w:sz w:val="56"/>
          <w:szCs w:val="56"/>
        </w:rPr>
        <w:t>Substitutions</w:t>
      </w:r>
      <w:r w:rsidRPr="0D740261" w:rsidR="00913E37">
        <w:rPr>
          <w:rFonts w:ascii="Calibri Light" w:hAnsi="Calibri Light" w:eastAsia="" w:cs="" w:asciiTheme="majorAscii" w:hAnsiTheme="majorAscii" w:eastAsiaTheme="majorEastAsia" w:cstheme="majorBidi"/>
          <w:noProof/>
          <w:spacing w:val="-10"/>
          <w:kern w:val="28"/>
          <w:sz w:val="56"/>
          <w:szCs w:val="56"/>
        </w:rPr>
        <w:t xml:space="preserve">       </w:t>
      </w:r>
    </w:p>
    <w:p w:rsidRPr="00913E37" w:rsidR="00913E37" w:rsidP="00913E37" w:rsidRDefault="00913E37" w14:paraId="31A46F05" w14:textId="77777777">
      <w:pPr>
        <w:contextualSpacing/>
        <w:rPr>
          <w:rFonts w:asciiTheme="majorHAnsi" w:hAnsiTheme="majorHAnsi" w:eastAsiaTheme="majorEastAsia" w:cstheme="majorBidi"/>
          <w:noProof/>
          <w:spacing w:val="-10"/>
          <w:kern w:val="28"/>
          <w:sz w:val="24"/>
          <w:szCs w:val="24"/>
        </w:rPr>
      </w:pPr>
      <w:r w:rsidRPr="00913E37">
        <w:rPr>
          <w:rFonts w:asciiTheme="majorHAnsi" w:hAnsiTheme="majorHAnsi" w:eastAsiaTheme="majorEastAsia" w:cstheme="majorHAnsi"/>
          <w:spacing w:val="-10"/>
          <w:kern w:val="28"/>
          <w:sz w:val="24"/>
          <w:szCs w:val="24"/>
        </w:rPr>
        <w:t xml:space="preserve">List of Additional Species to Add Diversity or for Substitutions </w:t>
      </w:r>
    </w:p>
    <w:p w:rsidR="00727424" w:rsidP="00913E37" w:rsidRDefault="00727424" w14:paraId="4CBC60DE" w14:textId="77777777">
      <w:pPr>
        <w:keepNext/>
        <w:keepLines/>
        <w:spacing w:before="40" w:line="259" w:lineRule="auto"/>
        <w:outlineLvl w:val="1"/>
        <w:rPr>
          <w:rFonts w:asciiTheme="majorHAnsi" w:hAnsiTheme="majorHAnsi" w:eastAsiaTheme="majorEastAsia" w:cstheme="majorBidi"/>
          <w:b/>
          <w:bCs/>
          <w:color w:val="2F5496" w:themeColor="accent1" w:themeShade="BF"/>
          <w:sz w:val="26"/>
          <w:szCs w:val="26"/>
        </w:rPr>
      </w:pPr>
    </w:p>
    <w:p w:rsidRPr="00913E37" w:rsidR="00913E37" w:rsidP="00913E37" w:rsidRDefault="00913E37" w14:paraId="6F8B51E2" w14:textId="7B678092">
      <w:pPr>
        <w:keepNext/>
        <w:keepLines/>
        <w:spacing w:before="40" w:line="259" w:lineRule="auto"/>
        <w:outlineLvl w:val="1"/>
        <w:rPr>
          <w:rFonts w:asciiTheme="majorHAnsi" w:hAnsiTheme="majorHAnsi" w:eastAsiaTheme="majorEastAsia" w:cstheme="majorBidi"/>
          <w:b/>
          <w:bCs/>
          <w:color w:val="2F5496" w:themeColor="accent1" w:themeShade="BF"/>
          <w:sz w:val="26"/>
          <w:szCs w:val="26"/>
        </w:rPr>
      </w:pPr>
      <w:r w:rsidRPr="00913E37">
        <w:rPr>
          <w:rFonts w:asciiTheme="majorHAnsi" w:hAnsiTheme="majorHAnsi" w:eastAsiaTheme="majorEastAsia" w:cstheme="majorBidi"/>
          <w:b/>
          <w:bCs/>
          <w:color w:val="2F5496" w:themeColor="accent1" w:themeShade="BF"/>
          <w:sz w:val="26"/>
          <w:szCs w:val="26"/>
        </w:rPr>
        <w:t>Grasses:</w:t>
      </w:r>
    </w:p>
    <w:tbl>
      <w:tblPr>
        <w:tblStyle w:val="GridTable6Colorful"/>
        <w:tblW w:w="9265" w:type="dxa"/>
        <w:tblLook w:val="04A0" w:firstRow="1" w:lastRow="0" w:firstColumn="1" w:lastColumn="0" w:noHBand="0" w:noVBand="1"/>
      </w:tblPr>
      <w:tblGrid>
        <w:gridCol w:w="4585"/>
        <w:gridCol w:w="4680"/>
      </w:tblGrid>
      <w:tr w:rsidRPr="00913E37" w:rsidR="00727424" w:rsidTr="00727424" w14:paraId="6DC5ACC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913E37" w:rsidR="00727424" w:rsidP="00913E37" w:rsidRDefault="00727424" w14:paraId="4ED13F04" w14:textId="77777777">
            <w:pPr>
              <w:keepNext/>
              <w:keepLines/>
              <w:spacing w:before="40"/>
              <w:jc w:val="center"/>
              <w:outlineLvl w:val="2"/>
              <w:rPr>
                <w:rFonts w:asciiTheme="majorHAnsi" w:hAnsiTheme="majorHAnsi" w:eastAsiaTheme="majorEastAsia" w:cstheme="majorBidi"/>
                <w:color w:val="1F3763" w:themeColor="accent1" w:themeShade="7F"/>
                <w:sz w:val="24"/>
                <w:szCs w:val="24"/>
              </w:rPr>
            </w:pPr>
            <w:bookmarkStart w:name="_Hlk39066304" w:id="2"/>
            <w:r w:rsidRPr="00913E37">
              <w:rPr>
                <w:rFonts w:asciiTheme="majorHAnsi" w:hAnsiTheme="majorHAnsi" w:eastAsiaTheme="majorEastAsia" w:cstheme="majorBidi"/>
                <w:sz w:val="24"/>
                <w:szCs w:val="24"/>
              </w:rPr>
              <w:t>Scientific Name</w:t>
            </w:r>
          </w:p>
        </w:tc>
        <w:tc>
          <w:tcPr>
            <w:tcW w:w="4680" w:type="dxa"/>
          </w:tcPr>
          <w:p w:rsidRPr="00913E37" w:rsidR="00727424" w:rsidP="00913E37" w:rsidRDefault="00727424" w14:paraId="4C6B564B" w14:textId="77777777">
            <w:pPr>
              <w:keepNext/>
              <w:keepLines/>
              <w:spacing w:before="40"/>
              <w:jc w:val="center"/>
              <w:outlineLvl w:val="2"/>
              <w:cnfStyle w:val="100000000000" w:firstRow="1" w:lastRow="0" w:firstColumn="0" w:lastColumn="0" w:oddVBand="0" w:evenVBand="0" w:oddHBand="0" w:evenHBand="0" w:firstRowFirstColumn="0" w:firstRowLastColumn="0" w:lastRowFirstColumn="0" w:lastRowLastColumn="0"/>
              <w:rPr>
                <w:rFonts w:asciiTheme="majorHAnsi" w:hAnsiTheme="majorHAnsi" w:eastAsiaTheme="majorEastAsia" w:cstheme="majorBidi"/>
                <w:sz w:val="24"/>
                <w:szCs w:val="24"/>
              </w:rPr>
            </w:pPr>
            <w:r w:rsidRPr="00913E37">
              <w:rPr>
                <w:rFonts w:asciiTheme="majorHAnsi" w:hAnsiTheme="majorHAnsi" w:eastAsiaTheme="majorEastAsia" w:cstheme="majorBidi"/>
                <w:sz w:val="24"/>
                <w:szCs w:val="24"/>
              </w:rPr>
              <w:t>Common Name</w:t>
            </w:r>
          </w:p>
        </w:tc>
      </w:tr>
      <w:tr w:rsidRPr="00913E37" w:rsidR="00727424" w:rsidTr="00727424" w14:paraId="7162659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913E37" w:rsidR="00727424" w:rsidP="00913E37" w:rsidRDefault="00727424" w14:paraId="53818310" w14:textId="03EA78B2">
            <w:pPr>
              <w:rPr>
                <w:rFonts w:asciiTheme="minorHAnsi" w:hAnsiTheme="minorHAnsi" w:cstheme="minorBidi"/>
                <w:i/>
                <w:iCs/>
                <w:color w:val="C00000"/>
              </w:rPr>
            </w:pPr>
            <w:r w:rsidRPr="00913E37">
              <w:rPr>
                <w:rFonts w:asciiTheme="minorHAnsi" w:hAnsiTheme="minorHAnsi" w:cstheme="minorBidi"/>
                <w:i/>
                <w:iCs/>
              </w:rPr>
              <w:t>Bromus ciliatus </w:t>
            </w:r>
          </w:p>
        </w:tc>
        <w:tc>
          <w:tcPr>
            <w:tcW w:w="4680" w:type="dxa"/>
          </w:tcPr>
          <w:p w:rsidRPr="00913E37" w:rsidR="00727424" w:rsidP="00913E37" w:rsidRDefault="00727424" w14:paraId="2A8DEEE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913E37">
              <w:rPr>
                <w:rFonts w:asciiTheme="minorHAnsi" w:hAnsiTheme="minorHAnsi" w:cstheme="minorBidi"/>
              </w:rPr>
              <w:t>Fringed Brome</w:t>
            </w:r>
          </w:p>
        </w:tc>
      </w:tr>
      <w:tr w:rsidRPr="00913E37" w:rsidR="00727424" w:rsidTr="00727424" w14:paraId="711AE098" w14:textId="77777777">
        <w:tc>
          <w:tcPr>
            <w:cnfStyle w:val="001000000000" w:firstRow="0" w:lastRow="0" w:firstColumn="1" w:lastColumn="0" w:oddVBand="0" w:evenVBand="0" w:oddHBand="0" w:evenHBand="0" w:firstRowFirstColumn="0" w:firstRowLastColumn="0" w:lastRowFirstColumn="0" w:lastRowLastColumn="0"/>
            <w:tcW w:w="4585" w:type="dxa"/>
          </w:tcPr>
          <w:p w:rsidRPr="00913E37" w:rsidR="00727424" w:rsidP="00913E37" w:rsidRDefault="00727424" w14:paraId="66DF668E" w14:textId="77777777">
            <w:pPr>
              <w:rPr>
                <w:rFonts w:asciiTheme="minorHAnsi" w:hAnsiTheme="minorHAnsi" w:cstheme="minorBidi"/>
                <w:i/>
                <w:iCs/>
              </w:rPr>
            </w:pPr>
            <w:r w:rsidRPr="00913E37">
              <w:rPr>
                <w:rFonts w:asciiTheme="minorHAnsi" w:hAnsiTheme="minorHAnsi" w:cstheme="minorBidi"/>
                <w:i/>
                <w:iCs/>
              </w:rPr>
              <w:t>Bromus pubescens</w:t>
            </w:r>
          </w:p>
        </w:tc>
        <w:tc>
          <w:tcPr>
            <w:tcW w:w="4680" w:type="dxa"/>
          </w:tcPr>
          <w:p w:rsidRPr="00913E37" w:rsidR="00727424" w:rsidP="00913E37" w:rsidRDefault="00727424" w14:paraId="236E519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913E37">
              <w:rPr>
                <w:rFonts w:asciiTheme="minorHAnsi" w:hAnsiTheme="minorHAnsi" w:cstheme="minorBidi"/>
              </w:rPr>
              <w:t>Hairy Wood Chess</w:t>
            </w:r>
          </w:p>
        </w:tc>
      </w:tr>
      <w:tr w:rsidRPr="00913E37" w:rsidR="00727424" w:rsidTr="00727424" w14:paraId="64B580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913E37" w:rsidR="00727424" w:rsidP="00913E37" w:rsidRDefault="00727424" w14:paraId="2F272D31" w14:textId="77777777">
            <w:pPr>
              <w:rPr>
                <w:rFonts w:asciiTheme="minorHAnsi" w:hAnsiTheme="minorHAnsi" w:cstheme="minorBidi"/>
                <w:i/>
                <w:iCs/>
                <w:color w:val="C00000"/>
              </w:rPr>
            </w:pPr>
            <w:r w:rsidRPr="00913E37">
              <w:rPr>
                <w:rFonts w:asciiTheme="minorHAnsi" w:hAnsiTheme="minorHAnsi" w:cstheme="minorBidi"/>
                <w:i/>
                <w:iCs/>
              </w:rPr>
              <w:t>Elymus riparius</w:t>
            </w:r>
          </w:p>
        </w:tc>
        <w:tc>
          <w:tcPr>
            <w:tcW w:w="4680" w:type="dxa"/>
          </w:tcPr>
          <w:p w:rsidRPr="00913E37" w:rsidR="00727424" w:rsidP="00913E37" w:rsidRDefault="00727424" w14:paraId="0CFD81F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913E37">
              <w:rPr>
                <w:rFonts w:asciiTheme="minorHAnsi" w:hAnsiTheme="minorHAnsi" w:cstheme="minorBidi"/>
              </w:rPr>
              <w:t>Riverbank Wild Rye</w:t>
            </w:r>
          </w:p>
        </w:tc>
      </w:tr>
      <w:tr w:rsidRPr="00913E37" w:rsidR="00727424" w:rsidTr="00727424" w14:paraId="6654108B" w14:textId="77777777">
        <w:tc>
          <w:tcPr>
            <w:cnfStyle w:val="001000000000" w:firstRow="0" w:lastRow="0" w:firstColumn="1" w:lastColumn="0" w:oddVBand="0" w:evenVBand="0" w:oddHBand="0" w:evenHBand="0" w:firstRowFirstColumn="0" w:firstRowLastColumn="0" w:lastRowFirstColumn="0" w:lastRowLastColumn="0"/>
            <w:tcW w:w="4585" w:type="dxa"/>
          </w:tcPr>
          <w:p w:rsidRPr="00913E37" w:rsidR="00727424" w:rsidP="00913E37" w:rsidRDefault="00727424" w14:paraId="2208B95C" w14:textId="77777777">
            <w:pPr>
              <w:rPr>
                <w:rFonts w:asciiTheme="minorHAnsi" w:hAnsiTheme="minorHAnsi" w:cstheme="minorBidi"/>
                <w:i/>
                <w:iCs/>
              </w:rPr>
            </w:pPr>
            <w:r w:rsidRPr="00913E37">
              <w:rPr>
                <w:rFonts w:asciiTheme="minorHAnsi" w:hAnsiTheme="minorHAnsi" w:cstheme="minorBidi"/>
                <w:i/>
                <w:iCs/>
              </w:rPr>
              <w:t>Elymus villosus</w:t>
            </w:r>
          </w:p>
        </w:tc>
        <w:tc>
          <w:tcPr>
            <w:tcW w:w="4680" w:type="dxa"/>
          </w:tcPr>
          <w:p w:rsidRPr="00913E37" w:rsidR="00727424" w:rsidP="00913E37" w:rsidRDefault="00727424" w14:paraId="43BBC3A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913E37">
              <w:rPr>
                <w:rFonts w:asciiTheme="minorHAnsi" w:hAnsiTheme="minorHAnsi" w:cstheme="minorBidi"/>
              </w:rPr>
              <w:t>Downy Wild Rye</w:t>
            </w:r>
          </w:p>
        </w:tc>
      </w:tr>
      <w:tr w:rsidRPr="00913E37" w:rsidR="00727424" w:rsidTr="00727424" w14:paraId="70662C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913E37" w:rsidR="00727424" w:rsidP="00913E37" w:rsidRDefault="00727424" w14:paraId="420BA526" w14:textId="77777777">
            <w:pPr>
              <w:rPr>
                <w:rFonts w:asciiTheme="minorHAnsi" w:hAnsiTheme="minorHAnsi" w:cstheme="minorBidi"/>
                <w:i/>
                <w:iCs/>
                <w:color w:val="C00000"/>
              </w:rPr>
            </w:pPr>
            <w:r w:rsidRPr="00913E37">
              <w:rPr>
                <w:rFonts w:asciiTheme="minorHAnsi" w:hAnsiTheme="minorHAnsi" w:cstheme="minorBidi"/>
                <w:i/>
                <w:iCs/>
              </w:rPr>
              <w:t>Glyceria striata</w:t>
            </w:r>
          </w:p>
        </w:tc>
        <w:tc>
          <w:tcPr>
            <w:tcW w:w="4680" w:type="dxa"/>
          </w:tcPr>
          <w:p w:rsidRPr="00913E37" w:rsidR="00727424" w:rsidP="00913E37" w:rsidRDefault="00727424" w14:paraId="53CB77E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913E37">
              <w:rPr>
                <w:rFonts w:asciiTheme="minorHAnsi" w:hAnsiTheme="minorHAnsi" w:cstheme="minorBidi"/>
              </w:rPr>
              <w:t>Fowl Manna Grass</w:t>
            </w:r>
          </w:p>
        </w:tc>
      </w:tr>
      <w:tr w:rsidRPr="00913E37" w:rsidR="00727424" w:rsidTr="00727424" w14:paraId="11DC6486" w14:textId="77777777">
        <w:tc>
          <w:tcPr>
            <w:cnfStyle w:val="001000000000" w:firstRow="0" w:lastRow="0" w:firstColumn="1" w:lastColumn="0" w:oddVBand="0" w:evenVBand="0" w:oddHBand="0" w:evenHBand="0" w:firstRowFirstColumn="0" w:firstRowLastColumn="0" w:lastRowFirstColumn="0" w:lastRowLastColumn="0"/>
            <w:tcW w:w="4585" w:type="dxa"/>
          </w:tcPr>
          <w:p w:rsidRPr="00913E37" w:rsidR="00727424" w:rsidP="00913E37" w:rsidRDefault="00727424" w14:paraId="1ABED60D" w14:textId="63053F30">
            <w:pPr>
              <w:rPr>
                <w:rFonts w:asciiTheme="minorHAnsi" w:hAnsiTheme="minorHAnsi" w:cstheme="minorBidi"/>
                <w:i/>
                <w:iCs/>
                <w:color w:val="C00000"/>
              </w:rPr>
            </w:pPr>
            <w:r w:rsidRPr="00913E37">
              <w:rPr>
                <w:rFonts w:asciiTheme="minorHAnsi" w:hAnsiTheme="minorHAnsi" w:cstheme="minorBidi"/>
                <w:i/>
                <w:iCs/>
              </w:rPr>
              <w:t>Leersia virginica </w:t>
            </w:r>
          </w:p>
        </w:tc>
        <w:tc>
          <w:tcPr>
            <w:tcW w:w="4680" w:type="dxa"/>
          </w:tcPr>
          <w:p w:rsidRPr="00913E37" w:rsidR="00727424" w:rsidP="00913E37" w:rsidRDefault="00727424" w14:paraId="2626743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913E37">
              <w:rPr>
                <w:rFonts w:asciiTheme="minorHAnsi" w:hAnsiTheme="minorHAnsi" w:cstheme="minorBidi"/>
              </w:rPr>
              <w:t>White Grass</w:t>
            </w:r>
          </w:p>
        </w:tc>
      </w:tr>
      <w:tr w:rsidRPr="00913E37" w:rsidR="00727424" w:rsidTr="00727424" w14:paraId="2CD3E2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913E37" w:rsidR="00727424" w:rsidP="00913E37" w:rsidRDefault="00727424" w14:paraId="4F0913FD" w14:textId="470B9EC7">
            <w:pPr>
              <w:rPr>
                <w:rFonts w:asciiTheme="minorHAnsi" w:hAnsiTheme="minorHAnsi" w:cstheme="minorBidi"/>
                <w:i/>
                <w:iCs/>
                <w:color w:val="C00000"/>
              </w:rPr>
            </w:pPr>
            <w:r w:rsidRPr="00913E37">
              <w:rPr>
                <w:rFonts w:asciiTheme="minorHAnsi" w:hAnsiTheme="minorHAnsi" w:cstheme="minorBidi"/>
                <w:i/>
                <w:iCs/>
              </w:rPr>
              <w:t>Panicum virgatum </w:t>
            </w:r>
          </w:p>
        </w:tc>
        <w:tc>
          <w:tcPr>
            <w:tcW w:w="4680" w:type="dxa"/>
          </w:tcPr>
          <w:p w:rsidRPr="00913E37" w:rsidR="00727424" w:rsidP="00913E37" w:rsidRDefault="00727424" w14:paraId="2A50AA4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913E37">
              <w:rPr>
                <w:rFonts w:asciiTheme="minorHAnsi" w:hAnsiTheme="minorHAnsi" w:cstheme="minorBidi"/>
              </w:rPr>
              <w:t>Switchgrass</w:t>
            </w:r>
          </w:p>
        </w:tc>
      </w:tr>
      <w:tr w:rsidRPr="00913E37" w:rsidR="00727424" w:rsidTr="00727424" w14:paraId="2EFF8446" w14:textId="77777777">
        <w:tc>
          <w:tcPr>
            <w:cnfStyle w:val="001000000000" w:firstRow="0" w:lastRow="0" w:firstColumn="1" w:lastColumn="0" w:oddVBand="0" w:evenVBand="0" w:oddHBand="0" w:evenHBand="0" w:firstRowFirstColumn="0" w:firstRowLastColumn="0" w:lastRowFirstColumn="0" w:lastRowLastColumn="0"/>
            <w:tcW w:w="4585" w:type="dxa"/>
          </w:tcPr>
          <w:p w:rsidRPr="00913E37" w:rsidR="00727424" w:rsidP="00913E37" w:rsidRDefault="00727424" w14:paraId="579CB035" w14:textId="77777777">
            <w:pPr>
              <w:rPr>
                <w:rFonts w:asciiTheme="minorHAnsi" w:hAnsiTheme="minorHAnsi" w:cstheme="minorBidi"/>
                <w:i/>
                <w:iCs/>
                <w:color w:val="C00000"/>
              </w:rPr>
            </w:pPr>
            <w:r w:rsidRPr="00913E37">
              <w:rPr>
                <w:rFonts w:asciiTheme="minorHAnsi" w:hAnsiTheme="minorHAnsi" w:cstheme="minorBidi"/>
                <w:i/>
                <w:iCs/>
              </w:rPr>
              <w:t>Sorghastrum nutans</w:t>
            </w:r>
          </w:p>
        </w:tc>
        <w:tc>
          <w:tcPr>
            <w:tcW w:w="4680" w:type="dxa"/>
          </w:tcPr>
          <w:p w:rsidRPr="00913E37" w:rsidR="00727424" w:rsidP="00913E37" w:rsidRDefault="00727424" w14:paraId="3120C91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913E37">
              <w:rPr>
                <w:rFonts w:asciiTheme="minorHAnsi" w:hAnsiTheme="minorHAnsi" w:cstheme="minorBidi"/>
              </w:rPr>
              <w:t>Indian Grass</w:t>
            </w:r>
          </w:p>
        </w:tc>
      </w:tr>
      <w:bookmarkEnd w:id="2"/>
    </w:tbl>
    <w:p w:rsidRPr="00913E37" w:rsidR="00913E37" w:rsidP="00913E37" w:rsidRDefault="00913E37" w14:paraId="1B8238FD" w14:textId="77777777">
      <w:pPr>
        <w:spacing w:after="160" w:line="259" w:lineRule="auto"/>
        <w:rPr>
          <w:rFonts w:asciiTheme="minorHAnsi" w:hAnsiTheme="minorHAnsi" w:cstheme="minorBidi"/>
        </w:rPr>
      </w:pPr>
    </w:p>
    <w:p w:rsidRPr="00913E37" w:rsidR="00913E37" w:rsidP="00913E37" w:rsidRDefault="00913E37" w14:paraId="6DD1074B" w14:textId="77777777">
      <w:pPr>
        <w:keepNext/>
        <w:keepLines/>
        <w:spacing w:before="40" w:line="259" w:lineRule="auto"/>
        <w:outlineLvl w:val="1"/>
        <w:rPr>
          <w:rFonts w:asciiTheme="majorHAnsi" w:hAnsiTheme="majorHAnsi" w:eastAsiaTheme="majorEastAsia" w:cstheme="majorBidi"/>
          <w:b/>
          <w:bCs/>
          <w:color w:val="2F5496" w:themeColor="accent1" w:themeShade="BF"/>
          <w:sz w:val="26"/>
          <w:szCs w:val="26"/>
        </w:rPr>
      </w:pPr>
      <w:r w:rsidRPr="00913E37">
        <w:rPr>
          <w:rFonts w:asciiTheme="majorHAnsi" w:hAnsiTheme="majorHAnsi" w:eastAsiaTheme="majorEastAsia" w:cstheme="majorBidi"/>
          <w:b/>
          <w:bCs/>
          <w:color w:val="2F5496" w:themeColor="accent1" w:themeShade="BF"/>
          <w:sz w:val="26"/>
          <w:szCs w:val="26"/>
        </w:rPr>
        <w:t>Forbs:</w:t>
      </w:r>
    </w:p>
    <w:tbl>
      <w:tblPr>
        <w:tblStyle w:val="GridTable6Colorful"/>
        <w:tblW w:w="9265" w:type="dxa"/>
        <w:tblLook w:val="04A0" w:firstRow="1" w:lastRow="0" w:firstColumn="1" w:lastColumn="0" w:noHBand="0" w:noVBand="1"/>
      </w:tblPr>
      <w:tblGrid>
        <w:gridCol w:w="4585"/>
        <w:gridCol w:w="4680"/>
      </w:tblGrid>
      <w:tr w:rsidRPr="00913E37" w:rsidR="00727424" w:rsidTr="00727424" w14:paraId="1EF6F49B" w14:textId="77777777">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4585" w:type="dxa"/>
          </w:tcPr>
          <w:p w:rsidRPr="00913E37" w:rsidR="00727424" w:rsidP="00913E37" w:rsidRDefault="00727424" w14:paraId="0711A9BB" w14:textId="77777777">
            <w:pPr>
              <w:keepNext/>
              <w:keepLines/>
              <w:spacing w:before="40"/>
              <w:jc w:val="center"/>
              <w:outlineLvl w:val="2"/>
              <w:rPr>
                <w:rFonts w:asciiTheme="majorHAnsi" w:hAnsiTheme="majorHAnsi" w:eastAsiaTheme="majorEastAsia" w:cstheme="majorBidi"/>
                <w:sz w:val="24"/>
                <w:szCs w:val="24"/>
              </w:rPr>
            </w:pPr>
            <w:bookmarkStart w:name="_Hlk39067721" w:id="3"/>
            <w:r w:rsidRPr="00913E37">
              <w:rPr>
                <w:rFonts w:asciiTheme="majorHAnsi" w:hAnsiTheme="majorHAnsi" w:eastAsiaTheme="majorEastAsia" w:cstheme="majorBidi"/>
                <w:sz w:val="24"/>
                <w:szCs w:val="24"/>
              </w:rPr>
              <w:t>Scientific Name</w:t>
            </w:r>
          </w:p>
        </w:tc>
        <w:tc>
          <w:tcPr>
            <w:tcW w:w="4680" w:type="dxa"/>
          </w:tcPr>
          <w:p w:rsidRPr="00913E37" w:rsidR="00727424" w:rsidP="00913E37" w:rsidRDefault="00727424" w14:paraId="4BA92A8C" w14:textId="77777777">
            <w:pPr>
              <w:keepNext/>
              <w:keepLines/>
              <w:spacing w:before="40"/>
              <w:jc w:val="center"/>
              <w:outlineLvl w:val="2"/>
              <w:cnfStyle w:val="100000000000" w:firstRow="1" w:lastRow="0" w:firstColumn="0" w:lastColumn="0" w:oddVBand="0" w:evenVBand="0" w:oddHBand="0" w:evenHBand="0" w:firstRowFirstColumn="0" w:firstRowLastColumn="0" w:lastRowFirstColumn="0" w:lastRowLastColumn="0"/>
              <w:rPr>
                <w:rFonts w:asciiTheme="majorHAnsi" w:hAnsiTheme="majorHAnsi" w:eastAsiaTheme="majorEastAsia" w:cstheme="majorBidi"/>
                <w:sz w:val="24"/>
                <w:szCs w:val="24"/>
              </w:rPr>
            </w:pPr>
            <w:r w:rsidRPr="00913E37">
              <w:rPr>
                <w:rFonts w:asciiTheme="majorHAnsi" w:hAnsiTheme="majorHAnsi" w:eastAsiaTheme="majorEastAsia" w:cstheme="majorBidi"/>
                <w:sz w:val="24"/>
                <w:szCs w:val="24"/>
              </w:rPr>
              <w:t>Common Name</w:t>
            </w:r>
          </w:p>
        </w:tc>
      </w:tr>
      <w:tr w:rsidRPr="00913E37" w:rsidR="00727424" w:rsidTr="00727424" w14:paraId="53BB009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913E37" w:rsidR="00727424" w:rsidP="00913E37" w:rsidRDefault="00727424" w14:paraId="03129C81" w14:textId="5ABF10CE">
            <w:pPr>
              <w:rPr>
                <w:rFonts w:asciiTheme="minorHAnsi" w:hAnsiTheme="minorHAnsi" w:cstheme="minorBidi"/>
                <w:i/>
                <w:iCs/>
              </w:rPr>
            </w:pPr>
            <w:r w:rsidRPr="00913E37">
              <w:rPr>
                <w:rFonts w:asciiTheme="minorHAnsi" w:hAnsiTheme="minorHAnsi" w:cstheme="minorBidi"/>
                <w:i/>
                <w:iCs/>
              </w:rPr>
              <w:t>Chelone glabra </w:t>
            </w:r>
          </w:p>
        </w:tc>
        <w:tc>
          <w:tcPr>
            <w:tcW w:w="4680" w:type="dxa"/>
          </w:tcPr>
          <w:p w:rsidRPr="00913E37" w:rsidR="00727424" w:rsidP="00913E37" w:rsidRDefault="00727424" w14:paraId="7C0AAB3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913E37">
              <w:rPr>
                <w:rFonts w:asciiTheme="minorHAnsi" w:hAnsiTheme="minorHAnsi" w:cstheme="minorBidi"/>
              </w:rPr>
              <w:t>White Turtlehead</w:t>
            </w:r>
          </w:p>
        </w:tc>
      </w:tr>
      <w:tr w:rsidRPr="00913E37" w:rsidR="00727424" w:rsidTr="00727424" w14:paraId="5237DF8C" w14:textId="77777777">
        <w:tc>
          <w:tcPr>
            <w:cnfStyle w:val="001000000000" w:firstRow="0" w:lastRow="0" w:firstColumn="1" w:lastColumn="0" w:oddVBand="0" w:evenVBand="0" w:oddHBand="0" w:evenHBand="0" w:firstRowFirstColumn="0" w:firstRowLastColumn="0" w:lastRowFirstColumn="0" w:lastRowLastColumn="0"/>
            <w:tcW w:w="4585" w:type="dxa"/>
          </w:tcPr>
          <w:p w:rsidRPr="00913E37" w:rsidR="00727424" w:rsidP="00913E37" w:rsidRDefault="00727424" w14:paraId="4812D8BB" w14:textId="0EBF7E6E">
            <w:pPr>
              <w:rPr>
                <w:i/>
                <w:iCs/>
              </w:rPr>
            </w:pPr>
            <w:r w:rsidRPr="00913E37">
              <w:rPr>
                <w:rFonts w:asciiTheme="minorHAnsi" w:hAnsiTheme="minorHAnsi" w:cstheme="minorBidi"/>
                <w:i/>
                <w:iCs/>
              </w:rPr>
              <w:t>Cicuta </w:t>
            </w:r>
            <w:r>
              <w:rPr>
                <w:rFonts w:asciiTheme="minorHAnsi" w:hAnsiTheme="minorHAnsi" w:cstheme="minorBidi"/>
                <w:i/>
                <w:iCs/>
              </w:rPr>
              <w:t>maculate</w:t>
            </w:r>
          </w:p>
        </w:tc>
        <w:tc>
          <w:tcPr>
            <w:tcW w:w="4680" w:type="dxa"/>
          </w:tcPr>
          <w:p w:rsidRPr="00913E37" w:rsidR="00727424" w:rsidP="00913E37" w:rsidRDefault="00727424" w14:paraId="16114E0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913E37">
              <w:rPr>
                <w:rFonts w:asciiTheme="minorHAnsi" w:hAnsiTheme="minorHAnsi" w:cstheme="minorBidi"/>
              </w:rPr>
              <w:t>Spotted Water Hemlock</w:t>
            </w:r>
          </w:p>
        </w:tc>
      </w:tr>
      <w:tr w:rsidRPr="00913E37" w:rsidR="00727424" w:rsidTr="00727424" w14:paraId="4C29E6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913E37" w:rsidR="00727424" w:rsidP="00913E37" w:rsidRDefault="00727424" w14:paraId="4487E81C" w14:textId="102036B9">
            <w:pPr>
              <w:rPr>
                <w:rFonts w:asciiTheme="minorHAnsi" w:hAnsiTheme="minorHAnsi" w:cstheme="minorBidi"/>
                <w:i/>
                <w:iCs/>
              </w:rPr>
            </w:pPr>
            <w:r w:rsidRPr="00913E37">
              <w:rPr>
                <w:rFonts w:asciiTheme="minorHAnsi" w:hAnsiTheme="minorHAnsi" w:cstheme="minorBidi"/>
                <w:i/>
                <w:iCs/>
              </w:rPr>
              <w:t>Doellingeria </w:t>
            </w:r>
            <w:r>
              <w:rPr>
                <w:rFonts w:asciiTheme="minorHAnsi" w:hAnsiTheme="minorHAnsi" w:cstheme="minorBidi"/>
                <w:i/>
                <w:iCs/>
              </w:rPr>
              <w:t>umbellate</w:t>
            </w:r>
          </w:p>
        </w:tc>
        <w:tc>
          <w:tcPr>
            <w:tcW w:w="4680" w:type="dxa"/>
          </w:tcPr>
          <w:p w:rsidRPr="00913E37" w:rsidR="00727424" w:rsidP="00913E37" w:rsidRDefault="00727424" w14:paraId="2CE0436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913E37">
              <w:rPr>
                <w:rFonts w:asciiTheme="minorHAnsi" w:hAnsiTheme="minorHAnsi" w:cstheme="minorBidi"/>
              </w:rPr>
              <w:t>Flat‐topped Aster</w:t>
            </w:r>
          </w:p>
        </w:tc>
      </w:tr>
      <w:tr w:rsidRPr="00913E37" w:rsidR="00727424" w:rsidTr="00727424" w14:paraId="1F90EA1F" w14:textId="77777777">
        <w:tc>
          <w:tcPr>
            <w:cnfStyle w:val="001000000000" w:firstRow="0" w:lastRow="0" w:firstColumn="1" w:lastColumn="0" w:oddVBand="0" w:evenVBand="0" w:oddHBand="0" w:evenHBand="0" w:firstRowFirstColumn="0" w:firstRowLastColumn="0" w:lastRowFirstColumn="0" w:lastRowLastColumn="0"/>
            <w:tcW w:w="4585" w:type="dxa"/>
          </w:tcPr>
          <w:p w:rsidRPr="00913E37" w:rsidR="00727424" w:rsidP="00913E37" w:rsidRDefault="00727424" w14:paraId="7E7CAAA4" w14:textId="20D7EA83">
            <w:pPr>
              <w:rPr>
                <w:rFonts w:asciiTheme="minorHAnsi" w:hAnsiTheme="minorHAnsi" w:cstheme="minorBidi"/>
                <w:i/>
                <w:iCs/>
              </w:rPr>
            </w:pPr>
            <w:r w:rsidRPr="00913E37">
              <w:rPr>
                <w:rFonts w:asciiTheme="minorHAnsi" w:hAnsiTheme="minorHAnsi" w:cstheme="minorBidi"/>
                <w:i/>
                <w:iCs/>
              </w:rPr>
              <w:t>Gentiana andrewsii </w:t>
            </w:r>
          </w:p>
        </w:tc>
        <w:tc>
          <w:tcPr>
            <w:tcW w:w="4680" w:type="dxa"/>
          </w:tcPr>
          <w:p w:rsidRPr="00913E37" w:rsidR="00727424" w:rsidP="00913E37" w:rsidRDefault="00727424" w14:paraId="0FAB563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913E37">
              <w:rPr>
                <w:rFonts w:asciiTheme="minorHAnsi" w:hAnsiTheme="minorHAnsi" w:cstheme="minorBidi"/>
              </w:rPr>
              <w:t>Bottle Gentian</w:t>
            </w:r>
          </w:p>
        </w:tc>
      </w:tr>
      <w:tr w:rsidRPr="00913E37" w:rsidR="00727424" w:rsidTr="00727424" w14:paraId="050BAC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913E37" w:rsidR="00727424" w:rsidP="00913E37" w:rsidRDefault="00727424" w14:paraId="1572739E" w14:textId="14F01206">
            <w:pPr>
              <w:rPr>
                <w:rFonts w:asciiTheme="minorHAnsi" w:hAnsiTheme="minorHAnsi" w:cstheme="minorBidi"/>
                <w:i/>
                <w:iCs/>
              </w:rPr>
            </w:pPr>
            <w:r w:rsidRPr="00913E37">
              <w:rPr>
                <w:rFonts w:asciiTheme="minorHAnsi" w:hAnsiTheme="minorHAnsi" w:cstheme="minorBidi"/>
                <w:i/>
                <w:iCs/>
              </w:rPr>
              <w:t>Helianthus giganteus </w:t>
            </w:r>
          </w:p>
        </w:tc>
        <w:tc>
          <w:tcPr>
            <w:tcW w:w="4680" w:type="dxa"/>
          </w:tcPr>
          <w:p w:rsidRPr="00913E37" w:rsidR="00727424" w:rsidP="00913E37" w:rsidRDefault="00727424" w14:paraId="62CA2B6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913E37">
              <w:rPr>
                <w:rFonts w:asciiTheme="minorHAnsi" w:hAnsiTheme="minorHAnsi" w:cstheme="minorBidi"/>
              </w:rPr>
              <w:t>Giant Sunflower</w:t>
            </w:r>
          </w:p>
        </w:tc>
      </w:tr>
      <w:tr w:rsidRPr="00913E37" w:rsidR="00727424" w:rsidTr="00727424" w14:paraId="7A79C20A" w14:textId="77777777">
        <w:tc>
          <w:tcPr>
            <w:cnfStyle w:val="001000000000" w:firstRow="0" w:lastRow="0" w:firstColumn="1" w:lastColumn="0" w:oddVBand="0" w:evenVBand="0" w:oddHBand="0" w:evenHBand="0" w:firstRowFirstColumn="0" w:firstRowLastColumn="0" w:lastRowFirstColumn="0" w:lastRowLastColumn="0"/>
            <w:tcW w:w="4585" w:type="dxa"/>
          </w:tcPr>
          <w:p w:rsidRPr="00913E37" w:rsidR="00727424" w:rsidP="00913E37" w:rsidRDefault="00727424" w14:paraId="2BE9BC82" w14:textId="77777777">
            <w:pPr>
              <w:rPr>
                <w:rFonts w:asciiTheme="minorHAnsi" w:hAnsiTheme="minorHAnsi" w:cstheme="minorBidi"/>
                <w:i/>
                <w:iCs/>
              </w:rPr>
            </w:pPr>
            <w:r w:rsidRPr="00913E37">
              <w:rPr>
                <w:rFonts w:asciiTheme="minorHAnsi" w:hAnsiTheme="minorHAnsi" w:cstheme="minorBidi"/>
                <w:i/>
                <w:iCs/>
              </w:rPr>
              <w:t>Lobelia cardinalis</w:t>
            </w:r>
          </w:p>
        </w:tc>
        <w:tc>
          <w:tcPr>
            <w:tcW w:w="4680" w:type="dxa"/>
          </w:tcPr>
          <w:p w:rsidRPr="00913E37" w:rsidR="00727424" w:rsidP="00913E37" w:rsidRDefault="00727424" w14:paraId="40F1926A" w14:textId="77777777">
            <w:pPr>
              <w:tabs>
                <w:tab w:val="left" w:pos="1048"/>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913E37">
              <w:rPr>
                <w:rFonts w:asciiTheme="minorHAnsi" w:hAnsiTheme="minorHAnsi" w:cstheme="minorBidi"/>
              </w:rPr>
              <w:t>Cardinal Flower</w:t>
            </w:r>
          </w:p>
        </w:tc>
      </w:tr>
      <w:tr w:rsidRPr="00913E37" w:rsidR="00727424" w:rsidTr="00727424" w14:paraId="5E1831B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913E37" w:rsidR="00727424" w:rsidP="00913E37" w:rsidRDefault="00727424" w14:paraId="2C15E05C" w14:textId="77777777">
            <w:pPr>
              <w:rPr>
                <w:rFonts w:asciiTheme="minorHAnsi" w:hAnsiTheme="minorHAnsi" w:cstheme="minorBidi"/>
                <w:i/>
                <w:iCs/>
              </w:rPr>
            </w:pPr>
            <w:r w:rsidRPr="00913E37">
              <w:rPr>
                <w:rFonts w:asciiTheme="minorHAnsi" w:hAnsiTheme="minorHAnsi" w:cstheme="minorBidi"/>
                <w:i/>
                <w:iCs/>
              </w:rPr>
              <w:t>Lobelia spicata</w:t>
            </w:r>
          </w:p>
        </w:tc>
        <w:tc>
          <w:tcPr>
            <w:tcW w:w="4680" w:type="dxa"/>
          </w:tcPr>
          <w:p w:rsidRPr="00913E37" w:rsidR="00727424" w:rsidP="00913E37" w:rsidRDefault="00727424" w14:paraId="5E4D047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913E37">
              <w:rPr>
                <w:rFonts w:asciiTheme="minorHAnsi" w:hAnsiTheme="minorHAnsi" w:cstheme="minorBidi"/>
              </w:rPr>
              <w:t>Rough‐spiked Lobelia</w:t>
            </w:r>
          </w:p>
        </w:tc>
      </w:tr>
      <w:tr w:rsidRPr="00913E37" w:rsidR="00727424" w:rsidTr="00727424" w14:paraId="3B19CC43" w14:textId="77777777">
        <w:tc>
          <w:tcPr>
            <w:cnfStyle w:val="001000000000" w:firstRow="0" w:lastRow="0" w:firstColumn="1" w:lastColumn="0" w:oddVBand="0" w:evenVBand="0" w:oddHBand="0" w:evenHBand="0" w:firstRowFirstColumn="0" w:firstRowLastColumn="0" w:lastRowFirstColumn="0" w:lastRowLastColumn="0"/>
            <w:tcW w:w="4585" w:type="dxa"/>
          </w:tcPr>
          <w:p w:rsidRPr="00913E37" w:rsidR="00727424" w:rsidP="00913E37" w:rsidRDefault="00727424" w14:paraId="6138A727" w14:textId="113862D3">
            <w:pPr>
              <w:rPr>
                <w:rFonts w:asciiTheme="minorHAnsi" w:hAnsiTheme="minorHAnsi" w:cstheme="minorBidi"/>
                <w:i/>
                <w:iCs/>
              </w:rPr>
            </w:pPr>
            <w:r w:rsidRPr="00913E37">
              <w:rPr>
                <w:rFonts w:asciiTheme="minorHAnsi" w:hAnsiTheme="minorHAnsi" w:cstheme="minorBidi"/>
                <w:i/>
                <w:iCs/>
              </w:rPr>
              <w:t>Lysimachia </w:t>
            </w:r>
            <w:r>
              <w:rPr>
                <w:rFonts w:asciiTheme="minorHAnsi" w:hAnsiTheme="minorHAnsi" w:cstheme="minorBidi"/>
                <w:i/>
                <w:iCs/>
              </w:rPr>
              <w:t>ciliate</w:t>
            </w:r>
          </w:p>
        </w:tc>
        <w:tc>
          <w:tcPr>
            <w:tcW w:w="4680" w:type="dxa"/>
          </w:tcPr>
          <w:p w:rsidRPr="00913E37" w:rsidR="00727424" w:rsidP="00913E37" w:rsidRDefault="00727424" w14:paraId="5571634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913E37">
              <w:rPr>
                <w:rFonts w:asciiTheme="minorHAnsi" w:hAnsiTheme="minorHAnsi" w:cstheme="minorBidi"/>
              </w:rPr>
              <w:t>Fringed Loosestrife</w:t>
            </w:r>
          </w:p>
        </w:tc>
      </w:tr>
      <w:tr w:rsidRPr="00913E37" w:rsidR="00727424" w:rsidTr="00727424" w14:paraId="6F9C1A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913E37" w:rsidR="00727424" w:rsidP="00913E37" w:rsidRDefault="00727424" w14:paraId="67BDEDBF" w14:textId="53B6EB7C">
            <w:pPr>
              <w:tabs>
                <w:tab w:val="left" w:pos="1002"/>
              </w:tabs>
              <w:rPr>
                <w:rFonts w:asciiTheme="minorHAnsi" w:hAnsiTheme="minorHAnsi" w:cstheme="minorBidi"/>
                <w:i/>
                <w:iCs/>
              </w:rPr>
            </w:pPr>
            <w:r w:rsidRPr="00913E37">
              <w:rPr>
                <w:rFonts w:asciiTheme="minorHAnsi" w:hAnsiTheme="minorHAnsi" w:cstheme="minorBidi"/>
                <w:i/>
                <w:iCs/>
              </w:rPr>
              <w:t>Phlox </w:t>
            </w:r>
            <w:r>
              <w:rPr>
                <w:rFonts w:asciiTheme="minorHAnsi" w:hAnsiTheme="minorHAnsi" w:cstheme="minorBidi"/>
                <w:i/>
                <w:iCs/>
              </w:rPr>
              <w:t>Pilosa</w:t>
            </w:r>
          </w:p>
        </w:tc>
        <w:tc>
          <w:tcPr>
            <w:tcW w:w="4680" w:type="dxa"/>
          </w:tcPr>
          <w:p w:rsidRPr="00913E37" w:rsidR="00727424" w:rsidP="00913E37" w:rsidRDefault="00727424" w14:paraId="7C56963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913E37">
              <w:rPr>
                <w:rFonts w:asciiTheme="minorHAnsi" w:hAnsiTheme="minorHAnsi" w:cstheme="minorBidi"/>
              </w:rPr>
              <w:t>Prairie Phlox</w:t>
            </w:r>
          </w:p>
        </w:tc>
      </w:tr>
      <w:tr w:rsidRPr="00913E37" w:rsidR="00727424" w:rsidTr="00727424" w14:paraId="35B1E33F" w14:textId="77777777">
        <w:tc>
          <w:tcPr>
            <w:cnfStyle w:val="001000000000" w:firstRow="0" w:lastRow="0" w:firstColumn="1" w:lastColumn="0" w:oddVBand="0" w:evenVBand="0" w:oddHBand="0" w:evenHBand="0" w:firstRowFirstColumn="0" w:firstRowLastColumn="0" w:lastRowFirstColumn="0" w:lastRowLastColumn="0"/>
            <w:tcW w:w="4585" w:type="dxa"/>
          </w:tcPr>
          <w:p w:rsidRPr="00913E37" w:rsidR="00727424" w:rsidP="00913E37" w:rsidRDefault="00727424" w14:paraId="52B8E159" w14:textId="77777777">
            <w:pPr>
              <w:tabs>
                <w:tab w:val="left" w:pos="1002"/>
              </w:tabs>
              <w:rPr>
                <w:rFonts w:asciiTheme="minorHAnsi" w:hAnsiTheme="minorHAnsi" w:cstheme="minorBidi"/>
                <w:i/>
                <w:iCs/>
              </w:rPr>
            </w:pPr>
            <w:r w:rsidRPr="00913E37">
              <w:rPr>
                <w:rFonts w:asciiTheme="minorHAnsi" w:hAnsiTheme="minorHAnsi" w:cstheme="minorBidi"/>
                <w:i/>
                <w:iCs/>
              </w:rPr>
              <w:t>Ranunculus fasciculatis</w:t>
            </w:r>
          </w:p>
        </w:tc>
        <w:tc>
          <w:tcPr>
            <w:tcW w:w="4680" w:type="dxa"/>
          </w:tcPr>
          <w:p w:rsidRPr="00913E37" w:rsidR="00727424" w:rsidP="00913E37" w:rsidRDefault="00727424" w14:paraId="19AA06A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913E37">
              <w:rPr>
                <w:rFonts w:asciiTheme="minorHAnsi" w:hAnsiTheme="minorHAnsi" w:cstheme="minorBidi"/>
              </w:rPr>
              <w:t>Early Buttercup</w:t>
            </w:r>
          </w:p>
        </w:tc>
      </w:tr>
      <w:tr w:rsidRPr="00913E37" w:rsidR="00727424" w:rsidTr="00727424" w14:paraId="7D8A260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913E37" w:rsidR="00727424" w:rsidP="00913E37" w:rsidRDefault="00727424" w14:paraId="0467C267" w14:textId="77777777">
            <w:pPr>
              <w:rPr>
                <w:rFonts w:asciiTheme="minorHAnsi" w:hAnsiTheme="minorHAnsi" w:cstheme="minorBidi"/>
                <w:i/>
                <w:iCs/>
              </w:rPr>
            </w:pPr>
            <w:r w:rsidRPr="00913E37">
              <w:rPr>
                <w:rFonts w:asciiTheme="minorHAnsi" w:hAnsiTheme="minorHAnsi" w:cstheme="minorBidi"/>
                <w:i/>
                <w:iCs/>
              </w:rPr>
              <w:t>Sisyrinchium montanum</w:t>
            </w:r>
          </w:p>
        </w:tc>
        <w:tc>
          <w:tcPr>
            <w:tcW w:w="4680" w:type="dxa"/>
          </w:tcPr>
          <w:p w:rsidRPr="00913E37" w:rsidR="00727424" w:rsidP="00913E37" w:rsidRDefault="00727424" w14:paraId="1B99AD1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913E37">
              <w:rPr>
                <w:rFonts w:asciiTheme="minorHAnsi" w:hAnsiTheme="minorHAnsi" w:cstheme="minorBidi"/>
              </w:rPr>
              <w:t>Mountain Blue‐eyed Grass</w:t>
            </w:r>
          </w:p>
        </w:tc>
      </w:tr>
      <w:tr w:rsidRPr="00913E37" w:rsidR="00727424" w:rsidTr="00727424" w14:paraId="775B4610" w14:textId="77777777">
        <w:tc>
          <w:tcPr>
            <w:cnfStyle w:val="001000000000" w:firstRow="0" w:lastRow="0" w:firstColumn="1" w:lastColumn="0" w:oddVBand="0" w:evenVBand="0" w:oddHBand="0" w:evenHBand="0" w:firstRowFirstColumn="0" w:firstRowLastColumn="0" w:lastRowFirstColumn="0" w:lastRowLastColumn="0"/>
            <w:tcW w:w="4585" w:type="dxa"/>
          </w:tcPr>
          <w:p w:rsidRPr="00913E37" w:rsidR="00727424" w:rsidP="00913E37" w:rsidRDefault="00727424" w14:paraId="37E2DFF2" w14:textId="77777777">
            <w:pPr>
              <w:rPr>
                <w:rFonts w:asciiTheme="minorHAnsi" w:hAnsiTheme="minorHAnsi" w:cstheme="minorBidi"/>
                <w:i/>
                <w:iCs/>
              </w:rPr>
            </w:pPr>
            <w:r w:rsidRPr="00913E37">
              <w:rPr>
                <w:rFonts w:asciiTheme="minorHAnsi" w:hAnsiTheme="minorHAnsi" w:cstheme="minorBidi"/>
                <w:i/>
                <w:iCs/>
              </w:rPr>
              <w:t>Symphyotrichum puniceum</w:t>
            </w:r>
          </w:p>
        </w:tc>
        <w:tc>
          <w:tcPr>
            <w:tcW w:w="4680" w:type="dxa"/>
          </w:tcPr>
          <w:p w:rsidRPr="00913E37" w:rsidR="00727424" w:rsidP="00913E37" w:rsidRDefault="00727424" w14:paraId="15B6204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913E37">
              <w:rPr>
                <w:rFonts w:asciiTheme="minorHAnsi" w:hAnsiTheme="minorHAnsi" w:cstheme="minorBidi"/>
              </w:rPr>
              <w:t>Red‐stemmed Aster</w:t>
            </w:r>
          </w:p>
        </w:tc>
      </w:tr>
      <w:tr w:rsidRPr="00913E37" w:rsidR="00727424" w:rsidTr="00727424" w14:paraId="0F8E5D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913E37" w:rsidR="00727424" w:rsidP="00913E37" w:rsidRDefault="00727424" w14:paraId="039BC628" w14:textId="1BF4B455">
            <w:pPr>
              <w:rPr>
                <w:rFonts w:asciiTheme="minorHAnsi" w:hAnsiTheme="minorHAnsi" w:cstheme="minorBidi"/>
                <w:i/>
                <w:iCs/>
              </w:rPr>
            </w:pPr>
            <w:r w:rsidRPr="00913E37">
              <w:rPr>
                <w:rFonts w:asciiTheme="minorHAnsi" w:hAnsiTheme="minorHAnsi" w:cstheme="minorBidi"/>
                <w:i/>
                <w:iCs/>
              </w:rPr>
              <w:t>Teucrium canadense </w:t>
            </w:r>
          </w:p>
        </w:tc>
        <w:tc>
          <w:tcPr>
            <w:tcW w:w="4680" w:type="dxa"/>
          </w:tcPr>
          <w:p w:rsidRPr="00913E37" w:rsidR="00727424" w:rsidP="00913E37" w:rsidRDefault="00727424" w14:paraId="0A0DA73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913E37">
              <w:rPr>
                <w:rFonts w:asciiTheme="minorHAnsi" w:hAnsiTheme="minorHAnsi" w:cstheme="minorBidi"/>
              </w:rPr>
              <w:t>Germander</w:t>
            </w:r>
          </w:p>
        </w:tc>
      </w:tr>
      <w:tr w:rsidRPr="00913E37" w:rsidR="00727424" w:rsidTr="00727424" w14:paraId="19FB576C" w14:textId="77777777">
        <w:tc>
          <w:tcPr>
            <w:cnfStyle w:val="001000000000" w:firstRow="0" w:lastRow="0" w:firstColumn="1" w:lastColumn="0" w:oddVBand="0" w:evenVBand="0" w:oddHBand="0" w:evenHBand="0" w:firstRowFirstColumn="0" w:firstRowLastColumn="0" w:lastRowFirstColumn="0" w:lastRowLastColumn="0"/>
            <w:tcW w:w="4585" w:type="dxa"/>
          </w:tcPr>
          <w:p w:rsidRPr="00913E37" w:rsidR="00727424" w:rsidP="00913E37" w:rsidRDefault="00727424" w14:paraId="63B6FF1A" w14:textId="031596A7">
            <w:pPr>
              <w:rPr>
                <w:rFonts w:asciiTheme="minorHAnsi" w:hAnsiTheme="minorHAnsi" w:cstheme="minorBidi"/>
                <w:i/>
                <w:iCs/>
              </w:rPr>
            </w:pPr>
            <w:r w:rsidRPr="00913E37">
              <w:rPr>
                <w:rFonts w:asciiTheme="minorHAnsi" w:hAnsiTheme="minorHAnsi" w:cstheme="minorBidi"/>
                <w:i/>
                <w:iCs/>
              </w:rPr>
              <w:t>Vernonia fasciculata </w:t>
            </w:r>
          </w:p>
        </w:tc>
        <w:tc>
          <w:tcPr>
            <w:tcW w:w="4680" w:type="dxa"/>
          </w:tcPr>
          <w:p w:rsidRPr="00913E37" w:rsidR="00727424" w:rsidP="00913E37" w:rsidRDefault="00727424" w14:paraId="7E6581C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913E37">
              <w:rPr>
                <w:rFonts w:asciiTheme="minorHAnsi" w:hAnsiTheme="minorHAnsi" w:cstheme="minorBidi"/>
              </w:rPr>
              <w:t>Bunched Ironweed</w:t>
            </w:r>
          </w:p>
        </w:tc>
      </w:tr>
      <w:tr w:rsidRPr="00913E37" w:rsidR="00727424" w:rsidTr="00727424" w14:paraId="1ACEE0F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913E37" w:rsidR="00727424" w:rsidP="00913E37" w:rsidRDefault="00727424" w14:paraId="5A5583EE" w14:textId="77777777">
            <w:pPr>
              <w:rPr>
                <w:rFonts w:asciiTheme="minorHAnsi" w:hAnsiTheme="minorHAnsi" w:cstheme="minorBidi"/>
                <w:i/>
                <w:iCs/>
              </w:rPr>
            </w:pPr>
            <w:r w:rsidRPr="00913E37">
              <w:rPr>
                <w:rFonts w:asciiTheme="minorHAnsi" w:hAnsiTheme="minorHAnsi" w:cstheme="minorBidi"/>
                <w:i/>
                <w:iCs/>
              </w:rPr>
              <w:t>Zizia aptera</w:t>
            </w:r>
          </w:p>
        </w:tc>
        <w:tc>
          <w:tcPr>
            <w:tcW w:w="4680" w:type="dxa"/>
          </w:tcPr>
          <w:p w:rsidRPr="00913E37" w:rsidR="00727424" w:rsidP="00913E37" w:rsidRDefault="00727424" w14:paraId="1DB3160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913E37">
              <w:rPr>
                <w:rFonts w:asciiTheme="minorHAnsi" w:hAnsiTheme="minorHAnsi" w:cstheme="minorBidi"/>
              </w:rPr>
              <w:t>Heart‐leaved Alexanders</w:t>
            </w:r>
          </w:p>
        </w:tc>
      </w:tr>
      <w:bookmarkEnd w:id="3"/>
    </w:tbl>
    <w:p w:rsidRPr="00913E37" w:rsidR="00913E37" w:rsidP="00913E37" w:rsidRDefault="00913E37" w14:paraId="0D99FDFD" w14:textId="77777777">
      <w:pPr>
        <w:spacing w:after="160" w:line="259" w:lineRule="auto"/>
        <w:rPr>
          <w:rFonts w:asciiTheme="minorHAnsi" w:hAnsiTheme="minorHAnsi" w:cstheme="minorBidi"/>
        </w:rPr>
      </w:pPr>
    </w:p>
    <w:p w:rsidRPr="00913E37" w:rsidR="00913E37" w:rsidP="00913E37" w:rsidRDefault="00913E37" w14:paraId="67B18F9A" w14:textId="77777777">
      <w:pPr>
        <w:keepNext/>
        <w:keepLines/>
        <w:spacing w:before="40" w:line="259" w:lineRule="auto"/>
        <w:outlineLvl w:val="1"/>
        <w:rPr>
          <w:rFonts w:asciiTheme="majorHAnsi" w:hAnsiTheme="majorHAnsi" w:eastAsiaTheme="majorEastAsia" w:cstheme="majorBidi"/>
          <w:b/>
          <w:bCs/>
          <w:color w:val="2F5496" w:themeColor="accent1" w:themeShade="BF"/>
          <w:sz w:val="26"/>
          <w:szCs w:val="26"/>
        </w:rPr>
      </w:pPr>
      <w:r w:rsidRPr="00913E37">
        <w:rPr>
          <w:rFonts w:asciiTheme="majorHAnsi" w:hAnsiTheme="majorHAnsi" w:eastAsiaTheme="majorEastAsia" w:cstheme="majorBidi"/>
          <w:b/>
          <w:bCs/>
          <w:color w:val="2F5496" w:themeColor="accent1" w:themeShade="BF"/>
          <w:sz w:val="26"/>
          <w:szCs w:val="26"/>
        </w:rPr>
        <w:lastRenderedPageBreak/>
        <w:t>Sedges:</w:t>
      </w:r>
    </w:p>
    <w:tbl>
      <w:tblPr>
        <w:tblStyle w:val="GridTable6Colorful"/>
        <w:tblW w:w="9265" w:type="dxa"/>
        <w:tblLook w:val="04A0" w:firstRow="1" w:lastRow="0" w:firstColumn="1" w:lastColumn="0" w:noHBand="0" w:noVBand="1"/>
      </w:tblPr>
      <w:tblGrid>
        <w:gridCol w:w="4135"/>
        <w:gridCol w:w="5130"/>
      </w:tblGrid>
      <w:tr w:rsidRPr="00913E37" w:rsidR="00727424" w:rsidTr="00727424" w14:paraId="2A7C54F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Pr="00913E37" w:rsidR="00727424" w:rsidP="00913E37" w:rsidRDefault="00727424" w14:paraId="21DEE5BB" w14:textId="77777777">
            <w:pPr>
              <w:keepNext/>
              <w:keepLines/>
              <w:spacing w:before="40"/>
              <w:jc w:val="center"/>
              <w:outlineLvl w:val="2"/>
              <w:rPr>
                <w:rFonts w:asciiTheme="majorHAnsi" w:hAnsiTheme="majorHAnsi" w:eastAsiaTheme="majorEastAsia" w:cstheme="majorBidi"/>
                <w:color w:val="1F3763" w:themeColor="accent1" w:themeShade="7F"/>
                <w:sz w:val="24"/>
                <w:szCs w:val="24"/>
              </w:rPr>
            </w:pPr>
            <w:r w:rsidRPr="00913E37">
              <w:rPr>
                <w:rFonts w:asciiTheme="majorHAnsi" w:hAnsiTheme="majorHAnsi" w:eastAsiaTheme="majorEastAsia" w:cstheme="majorBidi"/>
                <w:sz w:val="24"/>
                <w:szCs w:val="24"/>
              </w:rPr>
              <w:t>Scientific Name</w:t>
            </w:r>
          </w:p>
        </w:tc>
        <w:tc>
          <w:tcPr>
            <w:tcW w:w="5130" w:type="dxa"/>
          </w:tcPr>
          <w:p w:rsidRPr="00913E37" w:rsidR="00727424" w:rsidP="00913E37" w:rsidRDefault="00727424" w14:paraId="7F200827" w14:textId="77777777">
            <w:pPr>
              <w:keepNext/>
              <w:keepLines/>
              <w:spacing w:before="40"/>
              <w:jc w:val="center"/>
              <w:outlineLvl w:val="2"/>
              <w:cnfStyle w:val="100000000000" w:firstRow="1" w:lastRow="0" w:firstColumn="0" w:lastColumn="0" w:oddVBand="0" w:evenVBand="0" w:oddHBand="0" w:evenHBand="0" w:firstRowFirstColumn="0" w:firstRowLastColumn="0" w:lastRowFirstColumn="0" w:lastRowLastColumn="0"/>
              <w:rPr>
                <w:rFonts w:asciiTheme="majorHAnsi" w:hAnsiTheme="majorHAnsi" w:eastAsiaTheme="majorEastAsia" w:cstheme="majorBidi"/>
                <w:sz w:val="24"/>
                <w:szCs w:val="24"/>
              </w:rPr>
            </w:pPr>
            <w:r w:rsidRPr="00913E37">
              <w:rPr>
                <w:rFonts w:asciiTheme="majorHAnsi" w:hAnsiTheme="majorHAnsi" w:eastAsiaTheme="majorEastAsia" w:cstheme="majorBidi"/>
                <w:sz w:val="24"/>
                <w:szCs w:val="24"/>
              </w:rPr>
              <w:t>Common Name</w:t>
            </w:r>
          </w:p>
        </w:tc>
      </w:tr>
      <w:tr w:rsidRPr="00913E37" w:rsidR="00727424" w:rsidTr="00727424" w14:paraId="5EC4F1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Pr="00913E37" w:rsidR="00727424" w:rsidP="00913E37" w:rsidRDefault="00727424" w14:paraId="7ED51804" w14:textId="77777777">
            <w:pPr>
              <w:rPr>
                <w:i/>
                <w:iCs/>
              </w:rPr>
            </w:pPr>
            <w:r w:rsidRPr="00913E37">
              <w:rPr>
                <w:rFonts w:asciiTheme="minorHAnsi" w:hAnsiTheme="minorHAnsi" w:cstheme="minorBidi"/>
                <w:i/>
                <w:iCs/>
              </w:rPr>
              <w:t>Carex bebbii</w:t>
            </w:r>
          </w:p>
        </w:tc>
        <w:tc>
          <w:tcPr>
            <w:tcW w:w="5130" w:type="dxa"/>
          </w:tcPr>
          <w:p w:rsidRPr="00913E37" w:rsidR="00727424" w:rsidP="00913E37" w:rsidRDefault="00727424" w14:paraId="500754CD" w14:textId="77777777">
            <w:pPr>
              <w:cnfStyle w:val="000000100000" w:firstRow="0" w:lastRow="0" w:firstColumn="0" w:lastColumn="0" w:oddVBand="0" w:evenVBand="0" w:oddHBand="1" w:evenHBand="0" w:firstRowFirstColumn="0" w:firstRowLastColumn="0" w:lastRowFirstColumn="0" w:lastRowLastColumn="0"/>
            </w:pPr>
            <w:r w:rsidRPr="00913E37">
              <w:rPr>
                <w:rFonts w:asciiTheme="minorHAnsi" w:hAnsiTheme="minorHAnsi" w:cstheme="minorBidi"/>
              </w:rPr>
              <w:t>Bebb's Sedge</w:t>
            </w:r>
          </w:p>
        </w:tc>
      </w:tr>
      <w:tr w:rsidRPr="00913E37" w:rsidR="00727424" w:rsidTr="00727424" w14:paraId="34F84B0C" w14:textId="77777777">
        <w:tc>
          <w:tcPr>
            <w:cnfStyle w:val="001000000000" w:firstRow="0" w:lastRow="0" w:firstColumn="1" w:lastColumn="0" w:oddVBand="0" w:evenVBand="0" w:oddHBand="0" w:evenHBand="0" w:firstRowFirstColumn="0" w:firstRowLastColumn="0" w:lastRowFirstColumn="0" w:lastRowLastColumn="0"/>
            <w:tcW w:w="4135" w:type="dxa"/>
          </w:tcPr>
          <w:p w:rsidRPr="00913E37" w:rsidR="00727424" w:rsidP="00913E37" w:rsidRDefault="00727424" w14:paraId="4460A64A" w14:textId="21E2C454">
            <w:pPr>
              <w:rPr>
                <w:i/>
                <w:iCs/>
              </w:rPr>
            </w:pPr>
            <w:r w:rsidRPr="00913E37">
              <w:rPr>
                <w:rFonts w:asciiTheme="minorHAnsi" w:hAnsiTheme="minorHAnsi" w:cstheme="minorBidi"/>
                <w:i/>
                <w:iCs/>
              </w:rPr>
              <w:t>Carex scoparia </w:t>
            </w:r>
          </w:p>
        </w:tc>
        <w:tc>
          <w:tcPr>
            <w:tcW w:w="5130" w:type="dxa"/>
          </w:tcPr>
          <w:p w:rsidRPr="00913E37" w:rsidR="00727424" w:rsidP="00913E37" w:rsidRDefault="00727424" w14:paraId="4AD8368E" w14:textId="77777777">
            <w:pPr>
              <w:cnfStyle w:val="000000000000" w:firstRow="0" w:lastRow="0" w:firstColumn="0" w:lastColumn="0" w:oddVBand="0" w:evenVBand="0" w:oddHBand="0" w:evenHBand="0" w:firstRowFirstColumn="0" w:firstRowLastColumn="0" w:lastRowFirstColumn="0" w:lastRowLastColumn="0"/>
              <w:rPr>
                <w:b/>
                <w:bCs/>
              </w:rPr>
            </w:pPr>
            <w:r w:rsidRPr="00913E37">
              <w:rPr>
                <w:rFonts w:asciiTheme="minorHAnsi" w:hAnsiTheme="minorHAnsi" w:cstheme="minorBidi"/>
              </w:rPr>
              <w:t>Lance‐fruited Oval sedge</w:t>
            </w:r>
          </w:p>
        </w:tc>
      </w:tr>
      <w:tr w:rsidRPr="00913E37" w:rsidR="00727424" w:rsidTr="00727424" w14:paraId="482EA7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Pr>
          <w:p w:rsidRPr="00913E37" w:rsidR="00727424" w:rsidP="00913E37" w:rsidRDefault="00727424" w14:paraId="3463D71D" w14:textId="77777777">
            <w:pPr>
              <w:rPr>
                <w:i/>
                <w:iCs/>
              </w:rPr>
            </w:pPr>
            <w:r w:rsidRPr="00913E37">
              <w:rPr>
                <w:rFonts w:asciiTheme="minorHAnsi" w:hAnsiTheme="minorHAnsi" w:cstheme="minorBidi"/>
                <w:i/>
                <w:iCs/>
              </w:rPr>
              <w:t>Juncus dudleyi</w:t>
            </w:r>
          </w:p>
        </w:tc>
        <w:tc>
          <w:tcPr>
            <w:tcW w:w="5130" w:type="dxa"/>
          </w:tcPr>
          <w:p w:rsidRPr="00913E37" w:rsidR="00727424" w:rsidP="00913E37" w:rsidRDefault="00727424" w14:paraId="75403F82" w14:textId="77777777">
            <w:pPr>
              <w:cnfStyle w:val="000000100000" w:firstRow="0" w:lastRow="0" w:firstColumn="0" w:lastColumn="0" w:oddVBand="0" w:evenVBand="0" w:oddHBand="1" w:evenHBand="0" w:firstRowFirstColumn="0" w:firstRowLastColumn="0" w:lastRowFirstColumn="0" w:lastRowLastColumn="0"/>
            </w:pPr>
            <w:r w:rsidRPr="00913E37">
              <w:rPr>
                <w:rFonts w:asciiTheme="minorHAnsi" w:hAnsiTheme="minorHAnsi" w:cstheme="minorBidi"/>
              </w:rPr>
              <w:t>Dudley's Rush</w:t>
            </w:r>
          </w:p>
        </w:tc>
      </w:tr>
      <w:tr w:rsidRPr="00913E37" w:rsidR="00727424" w:rsidTr="00727424" w14:paraId="257A916B" w14:textId="77777777">
        <w:tc>
          <w:tcPr>
            <w:cnfStyle w:val="001000000000" w:firstRow="0" w:lastRow="0" w:firstColumn="1" w:lastColumn="0" w:oddVBand="0" w:evenVBand="0" w:oddHBand="0" w:evenHBand="0" w:firstRowFirstColumn="0" w:firstRowLastColumn="0" w:lastRowFirstColumn="0" w:lastRowLastColumn="0"/>
            <w:tcW w:w="4135" w:type="dxa"/>
          </w:tcPr>
          <w:p w:rsidRPr="00913E37" w:rsidR="00727424" w:rsidP="00913E37" w:rsidRDefault="00727424" w14:paraId="40DEA8D6" w14:textId="77777777">
            <w:pPr>
              <w:rPr>
                <w:i/>
                <w:iCs/>
              </w:rPr>
            </w:pPr>
            <w:r w:rsidRPr="00913E37">
              <w:rPr>
                <w:rFonts w:asciiTheme="minorHAnsi" w:hAnsiTheme="minorHAnsi" w:cstheme="minorBidi"/>
                <w:i/>
                <w:iCs/>
              </w:rPr>
              <w:t>Scirpus cyperinus</w:t>
            </w:r>
          </w:p>
        </w:tc>
        <w:tc>
          <w:tcPr>
            <w:tcW w:w="5130" w:type="dxa"/>
          </w:tcPr>
          <w:p w:rsidRPr="00913E37" w:rsidR="00727424" w:rsidP="00913E37" w:rsidRDefault="00727424" w14:paraId="38FFE0B3" w14:textId="77777777">
            <w:pPr>
              <w:cnfStyle w:val="000000000000" w:firstRow="0" w:lastRow="0" w:firstColumn="0" w:lastColumn="0" w:oddVBand="0" w:evenVBand="0" w:oddHBand="0" w:evenHBand="0" w:firstRowFirstColumn="0" w:firstRowLastColumn="0" w:lastRowFirstColumn="0" w:lastRowLastColumn="0"/>
            </w:pPr>
            <w:r w:rsidRPr="00913E37">
              <w:rPr>
                <w:rFonts w:asciiTheme="minorHAnsi" w:hAnsiTheme="minorHAnsi" w:cstheme="minorBidi"/>
              </w:rPr>
              <w:t>Woolgrass</w:t>
            </w:r>
          </w:p>
        </w:tc>
      </w:tr>
    </w:tbl>
    <w:p w:rsidR="00913E37" w:rsidP="009005F6" w:rsidRDefault="00913E37" w14:paraId="527D7C98" w14:textId="77777777">
      <w:pPr>
        <w:rPr>
          <w:rFonts w:asciiTheme="majorHAnsi" w:hAnsiTheme="majorHAnsi" w:cstheme="majorHAnsi"/>
          <w:b/>
          <w:bCs/>
          <w:sz w:val="40"/>
          <w:szCs w:val="40"/>
        </w:rPr>
      </w:pPr>
    </w:p>
    <w:p w:rsidRPr="0071078C" w:rsidR="009005F6" w:rsidP="009005F6" w:rsidRDefault="000F1EA0" w14:paraId="2E1BCBBD" w14:textId="204D62BC">
      <w:pPr>
        <w:rPr>
          <w:rFonts w:asciiTheme="majorHAnsi" w:hAnsiTheme="majorHAnsi" w:cstheme="majorHAnsi"/>
          <w:b/>
          <w:bCs/>
          <w:sz w:val="40"/>
          <w:szCs w:val="40"/>
        </w:rPr>
      </w:pPr>
      <w:r>
        <w:rPr>
          <w:rFonts w:asciiTheme="majorHAnsi" w:hAnsiTheme="majorHAnsi" w:cstheme="majorHAnsi"/>
          <w:b/>
          <w:bCs/>
          <w:sz w:val="40"/>
          <w:szCs w:val="40"/>
        </w:rPr>
        <w:t>Mid</w:t>
      </w:r>
      <w:r w:rsidR="00B74AA0">
        <w:rPr>
          <w:rFonts w:asciiTheme="majorHAnsi" w:hAnsiTheme="majorHAnsi" w:cstheme="majorHAnsi"/>
          <w:b/>
          <w:bCs/>
          <w:sz w:val="40"/>
          <w:szCs w:val="40"/>
        </w:rPr>
        <w:t xml:space="preserve"> </w:t>
      </w:r>
      <w:r w:rsidR="00F11105">
        <w:rPr>
          <w:rFonts w:asciiTheme="majorHAnsi" w:hAnsiTheme="majorHAnsi" w:cstheme="majorHAnsi"/>
          <w:b/>
          <w:bCs/>
          <w:sz w:val="40"/>
          <w:szCs w:val="40"/>
        </w:rPr>
        <w:t>Diversity</w:t>
      </w:r>
      <w:r>
        <w:rPr>
          <w:rFonts w:asciiTheme="majorHAnsi" w:hAnsiTheme="majorHAnsi" w:cstheme="majorHAnsi"/>
          <w:b/>
          <w:bCs/>
          <w:sz w:val="40"/>
          <w:szCs w:val="40"/>
        </w:rPr>
        <w:t xml:space="preserve"> </w:t>
      </w:r>
      <w:r w:rsidR="008C12F5">
        <w:rPr>
          <w:rFonts w:asciiTheme="majorHAnsi" w:hAnsiTheme="majorHAnsi" w:cstheme="majorHAnsi"/>
          <w:b/>
          <w:bCs/>
          <w:sz w:val="40"/>
          <w:szCs w:val="40"/>
        </w:rPr>
        <w:t>Moist</w:t>
      </w:r>
      <w:r>
        <w:rPr>
          <w:rFonts w:asciiTheme="majorHAnsi" w:hAnsiTheme="majorHAnsi" w:cstheme="majorHAnsi"/>
          <w:b/>
          <w:bCs/>
          <w:sz w:val="40"/>
          <w:szCs w:val="40"/>
        </w:rPr>
        <w:t xml:space="preserve"> </w:t>
      </w:r>
      <w:r w:rsidR="00F11105">
        <w:rPr>
          <w:rFonts w:asciiTheme="majorHAnsi" w:hAnsiTheme="majorHAnsi" w:cstheme="majorHAnsi"/>
          <w:b/>
          <w:bCs/>
          <w:sz w:val="40"/>
          <w:szCs w:val="40"/>
        </w:rPr>
        <w:t xml:space="preserve">Buffer </w:t>
      </w:r>
      <w:r>
        <w:rPr>
          <w:rFonts w:asciiTheme="majorHAnsi" w:hAnsiTheme="majorHAnsi" w:cstheme="majorHAnsi"/>
          <w:b/>
          <w:bCs/>
          <w:sz w:val="40"/>
          <w:szCs w:val="40"/>
        </w:rPr>
        <w:t xml:space="preserve">South &amp; West </w:t>
      </w:r>
      <w:r w:rsidRPr="0071078C" w:rsidR="009005F6">
        <w:rPr>
          <w:rFonts w:asciiTheme="majorHAnsi" w:hAnsiTheme="majorHAnsi" w:cstheme="majorHAnsi"/>
          <w:b/>
          <w:bCs/>
          <w:sz w:val="40"/>
          <w:szCs w:val="40"/>
        </w:rPr>
        <w:t xml:space="preserve">Seed Mix Guidance </w:t>
      </w:r>
    </w:p>
    <w:p w:rsidRPr="0071078C" w:rsidR="009005F6" w:rsidP="009005F6" w:rsidRDefault="009005F6" w14:paraId="7B63D551" w14:textId="77777777">
      <w:pPr>
        <w:rPr>
          <w:rFonts w:asciiTheme="majorHAnsi" w:hAnsiTheme="majorHAnsi" w:cstheme="majorHAnsi"/>
          <w:b/>
          <w:bCs/>
        </w:rPr>
      </w:pPr>
      <w:r w:rsidRPr="0071078C">
        <w:rPr>
          <w:rFonts w:asciiTheme="majorHAnsi" w:hAnsiTheme="majorHAnsi" w:cstheme="majorHAnsi"/>
          <w:b/>
          <w:bCs/>
        </w:rPr>
        <w:t>(MIX IMAGE)</w:t>
      </w:r>
    </w:p>
    <w:p w:rsidR="009005F6" w:rsidP="009005F6" w:rsidRDefault="009005F6" w14:paraId="3FFB8574" w14:textId="77777777">
      <w:pPr>
        <w:rPr>
          <w:b/>
          <w:bCs/>
        </w:rPr>
      </w:pPr>
    </w:p>
    <w:p w:rsidRPr="004D5AC0" w:rsidR="004D5AC0" w:rsidP="004D5AC0" w:rsidRDefault="009005F6" w14:paraId="5401DA7B" w14:textId="53D17BA5">
      <w:pPr>
        <w:rPr>
          <w:rFonts w:ascii="Arial" w:hAnsi="Arial" w:eastAsia="Times New Roman" w:cs="Arial"/>
          <w:b/>
          <w:bCs/>
          <w:color w:val="000000"/>
          <w:sz w:val="20"/>
          <w:szCs w:val="20"/>
        </w:rPr>
      </w:pPr>
      <w:r w:rsidRPr="00211590">
        <w:rPr>
          <w:b/>
          <w:bCs/>
        </w:rPr>
        <w:t>Seed mix name:</w:t>
      </w:r>
      <w:r w:rsidR="000F1EA0">
        <w:t xml:space="preserve"> </w:t>
      </w:r>
      <w:bookmarkStart w:name="_Hlk132713022" w:id="4"/>
      <w:r w:rsidR="000F1EA0">
        <w:t>Mid Diversity M</w:t>
      </w:r>
      <w:r w:rsidR="008C12F5">
        <w:t>oist</w:t>
      </w:r>
      <w:r w:rsidR="000F1EA0">
        <w:t xml:space="preserve"> Buffer South &amp; West</w:t>
      </w:r>
      <w:r w:rsidR="00F11105">
        <w:t xml:space="preserve"> </w:t>
      </w:r>
      <w:r w:rsidRPr="004D5AC0" w:rsidR="004D5AC0">
        <w:rPr>
          <w:rFonts w:eastAsia="Times New Roman" w:asciiTheme="minorHAnsi" w:hAnsiTheme="minorHAnsi" w:cstheme="minorHAnsi"/>
          <w:color w:val="000000"/>
        </w:rPr>
        <w:t>32-251</w:t>
      </w:r>
      <w:bookmarkEnd w:id="4"/>
    </w:p>
    <w:p w:rsidRPr="008E0255" w:rsidR="008019A3" w:rsidP="008019A3" w:rsidRDefault="008019A3" w14:paraId="5D710F24" w14:textId="3329FB66">
      <w:r w:rsidRPr="008E0255">
        <w:rPr>
          <w:b/>
          <w:bCs/>
        </w:rPr>
        <w:t>Geographic area:</w:t>
      </w:r>
      <w:r w:rsidRPr="008E0255">
        <w:t xml:space="preserve"> Minnesota, </w:t>
      </w:r>
      <w:r>
        <w:t>S</w:t>
      </w:r>
      <w:r w:rsidR="00727424">
        <w:t>outh and West</w:t>
      </w:r>
    </w:p>
    <w:p w:rsidRPr="008E0255" w:rsidR="008019A3" w:rsidP="008019A3" w:rsidRDefault="008019A3" w14:paraId="555EC207" w14:textId="6D4ADBAF">
      <w:r w:rsidRPr="008E0255">
        <w:rPr>
          <w:b/>
          <w:bCs/>
        </w:rPr>
        <w:t>Year of development:</w:t>
      </w:r>
      <w:r w:rsidR="00727424">
        <w:rPr>
          <w:b/>
          <w:bCs/>
        </w:rPr>
        <w:t xml:space="preserve"> </w:t>
      </w:r>
      <w:r w:rsidRPr="00727424" w:rsidR="00727424">
        <w:t>2023</w:t>
      </w:r>
      <w:r w:rsidRPr="00727424">
        <w:t xml:space="preserve"> </w:t>
      </w:r>
    </w:p>
    <w:p w:rsidRPr="008E0255" w:rsidR="008019A3" w:rsidP="008019A3" w:rsidRDefault="008019A3" w14:paraId="2F465A3D" w14:textId="77777777">
      <w:r w:rsidRPr="008E0255">
        <w:rPr>
          <w:b/>
          <w:bCs/>
        </w:rPr>
        <w:t>Year/s of update:</w:t>
      </w:r>
      <w:r w:rsidRPr="008E0255">
        <w:t xml:space="preserve"> 2023 </w:t>
      </w:r>
    </w:p>
    <w:p w:rsidRPr="008E0255" w:rsidR="008019A3" w:rsidP="008019A3" w:rsidRDefault="008019A3" w14:paraId="3900ABE1" w14:textId="77777777">
      <w:r w:rsidRPr="008E0255">
        <w:rPr>
          <w:b/>
          <w:bCs/>
        </w:rPr>
        <w:t>Status</w:t>
      </w:r>
      <w:r w:rsidRPr="008E0255">
        <w:t xml:space="preserve"> </w:t>
      </w:r>
      <w:r w:rsidRPr="008E0255">
        <w:rPr>
          <w:b/>
          <w:bCs/>
        </w:rPr>
        <w:t>(</w:t>
      </w:r>
      <w:r w:rsidRPr="008E0255">
        <w:rPr>
          <w:b/>
          <w:bCs/>
          <w:i/>
          <w:iCs/>
        </w:rPr>
        <w:t>Standard or Pilot mix</w:t>
      </w:r>
      <w:r w:rsidRPr="008E0255">
        <w:rPr>
          <w:b/>
          <w:bCs/>
        </w:rPr>
        <w:t>):</w:t>
      </w:r>
      <w:r w:rsidRPr="008E0255">
        <w:t xml:space="preserve"> Standard</w:t>
      </w:r>
    </w:p>
    <w:p w:rsidRPr="008E0255" w:rsidR="008019A3" w:rsidP="008019A3" w:rsidRDefault="008019A3" w14:paraId="69CEA8C8" w14:textId="77777777">
      <w:pPr>
        <w:rPr>
          <w:b/>
          <w:bCs/>
        </w:rPr>
      </w:pPr>
      <w:r w:rsidRPr="008E0255">
        <w:rPr>
          <w:b/>
          <w:bCs/>
        </w:rPr>
        <w:t xml:space="preserve">Primary and Secondary Functions: </w:t>
      </w:r>
    </w:p>
    <w:p w:rsidRPr="008E0255" w:rsidR="008019A3" w:rsidP="008019A3" w:rsidRDefault="008019A3" w14:paraId="382DFCE3" w14:textId="77777777">
      <w:r w:rsidRPr="008E0255">
        <w:rPr>
          <w:rStyle w:val="IntenseEmphasis"/>
          <w:color w:val="2F5496" w:themeColor="accent1" w:themeShade="BF"/>
        </w:rPr>
        <w:t>Primary</w:t>
      </w:r>
      <w:r w:rsidRPr="008E0255">
        <w:t xml:space="preserve"> – Water quality benefits, soil stabilization and wildlife habitat</w:t>
      </w:r>
    </w:p>
    <w:p w:rsidRPr="008E0255" w:rsidR="008019A3" w:rsidP="008019A3" w:rsidRDefault="008019A3" w14:paraId="574B7072" w14:textId="77777777">
      <w:r w:rsidRPr="008E0255">
        <w:rPr>
          <w:rStyle w:val="IntenseEmphasis"/>
          <w:color w:val="2F5496" w:themeColor="accent1" w:themeShade="BF"/>
        </w:rPr>
        <w:t>Secondary</w:t>
      </w:r>
      <w:r w:rsidRPr="008E0255">
        <w:t xml:space="preserve"> – Carbon Sequestration, emission reductions, pollinator habitat (potential, depending on placement), songbird and other non-game wildlife habitat</w:t>
      </w:r>
    </w:p>
    <w:p w:rsidRPr="008E0255" w:rsidR="008019A3" w:rsidP="008019A3" w:rsidRDefault="008019A3" w14:paraId="0425B968" w14:textId="77777777">
      <w:pPr>
        <w:rPr>
          <w:b/>
          <w:bCs/>
        </w:rPr>
      </w:pPr>
      <w:r w:rsidRPr="008E0255">
        <w:rPr>
          <w:b/>
          <w:bCs/>
        </w:rPr>
        <w:t>Similar State Mixes:</w:t>
      </w:r>
      <w:r w:rsidRPr="008E0255">
        <w:t xml:space="preserve"> Mid-Diversity Mesic to Dry Buffer South &amp; West, Mid-Diversity Mesic to Dry Buffer South &amp; West South &amp; West, Mid-Diversity Moist Buffer NE, Native Forage Buffer South &amp; West, Low Diversity Floodplain Mix</w:t>
      </w:r>
    </w:p>
    <w:p w:rsidRPr="008E0255" w:rsidR="008019A3" w:rsidP="008019A3" w:rsidRDefault="008019A3" w14:paraId="36468527" w14:textId="77777777">
      <w:r w:rsidRPr="008E0255">
        <w:rPr>
          <w:b/>
          <w:bCs/>
        </w:rPr>
        <w:t>Compatible NRCS Practice Standards:</w:t>
      </w:r>
      <w:r w:rsidRPr="008E0255">
        <w:t xml:space="preserve"> 393</w:t>
      </w:r>
    </w:p>
    <w:p w:rsidRPr="008E0255" w:rsidR="008019A3" w:rsidP="008019A3" w:rsidRDefault="008019A3" w14:paraId="4A6EEFC0" w14:textId="77777777">
      <w:r w:rsidRPr="008E0255">
        <w:rPr>
          <w:b/>
          <w:bCs/>
        </w:rPr>
        <w:t>Compatible Minnesota CRP Practices:</w:t>
      </w:r>
      <w:r w:rsidRPr="008E0255">
        <w:t xml:space="preserve"> CP21</w:t>
      </w:r>
    </w:p>
    <w:p w:rsidRPr="008E0255" w:rsidR="008019A3" w:rsidP="008019A3" w:rsidRDefault="008019A3" w14:paraId="1CF076A3" w14:textId="77777777">
      <w:pPr>
        <w:rPr>
          <w:b/>
          <w:bCs/>
        </w:rPr>
      </w:pPr>
    </w:p>
    <w:p w:rsidRPr="008E0255" w:rsidR="008019A3" w:rsidP="008019A3" w:rsidRDefault="008019A3" w14:paraId="5004158B" w14:textId="77777777">
      <w:r w:rsidRPr="008E0255">
        <w:rPr>
          <w:b/>
          <w:bCs/>
        </w:rPr>
        <w:t xml:space="preserve">Suitable Site Conditions: </w:t>
      </w:r>
      <w:r w:rsidRPr="008E0255">
        <w:t xml:space="preserve">Areas </w:t>
      </w:r>
      <w:r>
        <w:t>with moist soils</w:t>
      </w:r>
      <w:r w:rsidRPr="008E0255">
        <w:t xml:space="preserve"> adjacent to a stream, wetland or lake is being converted from other uses such as agriculture or non-native grasses to a native prairie reconstruction. </w:t>
      </w:r>
    </w:p>
    <w:p w:rsidRPr="008E0255" w:rsidR="008019A3" w:rsidP="008019A3" w:rsidRDefault="008019A3" w14:paraId="47BB5687" w14:textId="77777777"/>
    <w:p w:rsidRPr="008E0255" w:rsidR="008019A3" w:rsidP="008019A3" w:rsidRDefault="008019A3" w14:paraId="78F35B7F" w14:textId="148C496E">
      <w:r w:rsidRPr="008E0255">
        <w:rPr>
          <w:b/>
          <w:bCs/>
        </w:rPr>
        <w:t xml:space="preserve">How to Modify for Site Conditions and Goals: </w:t>
      </w:r>
      <w:r w:rsidRPr="008E0255">
        <w:t xml:space="preserve">This mix includes a list of additional species that can be considered to add species diversity. Site conditions such as sunlight, soils, </w:t>
      </w:r>
      <w:r w:rsidRPr="008E0255" w:rsidR="00617D72">
        <w:t>hydrology,</w:t>
      </w:r>
      <w:r w:rsidRPr="008E0255">
        <w:t xml:space="preserve"> and existing vegetation along with functional goals for the project such as carbon sequestration, pollinator habitat, and benefit to grassland bird species can all have an influence on species selection and the modification of seed mixes. </w:t>
      </w:r>
    </w:p>
    <w:p w:rsidRPr="008E0255" w:rsidR="008019A3" w:rsidP="008019A3" w:rsidRDefault="008019A3" w14:paraId="2B0A0AE7" w14:textId="77777777"/>
    <w:p w:rsidRPr="008E0255" w:rsidR="008019A3" w:rsidP="008019A3" w:rsidRDefault="008019A3" w14:paraId="3B510BD2" w14:textId="496C37CD">
      <w:pPr>
        <w:pStyle w:val="Default"/>
        <w:rPr>
          <w:sz w:val="22"/>
          <w:szCs w:val="22"/>
        </w:rPr>
      </w:pPr>
      <w:r w:rsidRPr="008E0255">
        <w:rPr>
          <w:b/>
          <w:bCs/>
          <w:sz w:val="22"/>
          <w:szCs w:val="22"/>
        </w:rPr>
        <w:t xml:space="preserve">Site Preparation: </w:t>
      </w:r>
      <w:r w:rsidRPr="008E0255">
        <w:rPr>
          <w:sz w:val="22"/>
          <w:szCs w:val="22"/>
        </w:rPr>
        <w:t xml:space="preserve">Primary goals for site preparation tend to focus on controlling weed species and providing ideal growing conditions for seed or plants to be installed. Site preparation methods vary depending on past uses of the site that can contribute to soil condition and the amount and type of problematic weed species present. The protection of microorganism populations and native seedbanks, preventing soil erosion, and managing weed establishment are all considerations during the site preparation process. In most cases, non-herbicide methods are preferred over methods that include repeated, intensive herbicide methods to protect aquatic organisms and soil microfauna, but on large acreages herbicides may be the most efficient method of controlling some invasive perennial species. It is common for many conservation plantings to transition from corn or soybean production. Fields that have been in agricultural production will need a chemical history in order to know if there will be herbicide carry-over that may prevent growth or harm vegetation establishment. Another consideration is that several chemicals being used for weed control, including Glyphosate act as pre-emergents or post-emergents (designed to inhibit germination) and can be a problem for native vegetation </w:t>
      </w:r>
      <w:r w:rsidRPr="008E0255">
        <w:rPr>
          <w:sz w:val="22"/>
          <w:szCs w:val="22"/>
        </w:rPr>
        <w:lastRenderedPageBreak/>
        <w:t xml:space="preserve">establishment from seed. Investigate prior chemical use and labels to help define probability of having chemical carryover that could/should be addressed by using temporary cover crops to allow time for chemicals to break down. If a site is dominated by problematic perennial weeds such as smooth brome, quack </w:t>
      </w:r>
      <w:r w:rsidRPr="008E0255" w:rsidR="00BD697E">
        <w:rPr>
          <w:sz w:val="22"/>
          <w:szCs w:val="22"/>
        </w:rPr>
        <w:t>grass,</w:t>
      </w:r>
      <w:r w:rsidRPr="008E0255">
        <w:rPr>
          <w:sz w:val="22"/>
          <w:szCs w:val="22"/>
        </w:rPr>
        <w:t xml:space="preserve"> or bluegrass, it will need to have a longer site prep time prior to planting. One way to do this is to use 1-2 seasons of agricultural row-crops or densely seeded temporary covers. Temporary covers both act to smother problematic weeds and improve overall soil structure and function.  For sites in agricultural production, herbicide application is often recommended, as tilling alone may re-suspend the rhizomes, allowing them to continue growing.</w:t>
      </w:r>
    </w:p>
    <w:p w:rsidRPr="008E0255" w:rsidR="008019A3" w:rsidP="008019A3" w:rsidRDefault="008019A3" w14:paraId="2F3F5134" w14:textId="77777777">
      <w:pPr>
        <w:pStyle w:val="Default"/>
        <w:rPr>
          <w:sz w:val="22"/>
          <w:szCs w:val="22"/>
        </w:rPr>
      </w:pPr>
    </w:p>
    <w:p w:rsidRPr="008E0255" w:rsidR="008019A3" w:rsidP="008019A3" w:rsidRDefault="008019A3" w14:paraId="2B1B1088" w14:textId="77777777">
      <w:r w:rsidRPr="008E0255">
        <w:rPr>
          <w:b/>
          <w:bCs/>
        </w:rPr>
        <w:t xml:space="preserve">Seeding Dates: </w:t>
      </w:r>
      <w:r w:rsidRPr="008E0255">
        <w:rPr>
          <w:color w:val="000000"/>
        </w:rPr>
        <w:t xml:space="preserve">Native seed mixes can be installed in the spring or fall. Spring seedings should be done on or around May 1-July 1 when soil temperatures are at least 60 degrees Fahrenheit or higher. Fall seeding should occur when soil temperatures fall below 50 degrees Fahrenheit for a consistent period of time (usually around October 15 in the northern half of the state and November 1 in the southern half of the state). Fall dormant seedings can help reduce weed pressure during the first year of growth because cool-season grasses and forbs germinate earlier and start competing with weed species right away. For wet sites or sites prone to flooding, a fall seeding may be ideal to avoid wet conditions that are more common in the spring than in the fall. Frost seedings are also an option if the snow cover is not too deep. For a frost seeding, seeding rates may need to be increased by 25 percent due to lower germination rates and loss of seed that is consumed by wildlife over the winter months. In general, grasses are most successful with a spring/early summer seeding while forbs are most successful with a fall dormant seeding, as most forbs require a winter to break their seed dormancy before they can start growing. </w:t>
      </w:r>
      <w:r w:rsidRPr="008E0255">
        <w:t>Planting dates will vary depending on the weather in a particular year and where the planting site is located (e.g., northern Minnesota versus southern Minnesota). Consult with native seed suppliers to determine the best planting dates for that year.</w:t>
      </w:r>
    </w:p>
    <w:p w:rsidRPr="008E0255" w:rsidR="008019A3" w:rsidP="008019A3" w:rsidRDefault="008019A3" w14:paraId="485606AD" w14:textId="77777777">
      <w:pPr>
        <w:spacing w:before="120"/>
        <w:rPr>
          <w:color w:val="000000"/>
        </w:rPr>
      </w:pPr>
    </w:p>
    <w:p w:rsidRPr="008E0255" w:rsidR="008019A3" w:rsidP="008019A3" w:rsidRDefault="008019A3" w14:paraId="274AE973" w14:textId="77777777">
      <w:pPr>
        <w:pStyle w:val="Default"/>
        <w:rPr>
          <w:sz w:val="22"/>
          <w:szCs w:val="22"/>
        </w:rPr>
      </w:pPr>
      <w:r w:rsidRPr="008E0255">
        <w:rPr>
          <w:b/>
          <w:bCs/>
          <w:sz w:val="22"/>
          <w:szCs w:val="22"/>
        </w:rPr>
        <w:t xml:space="preserve">Seedbed preparation:  </w:t>
      </w:r>
      <w:r w:rsidRPr="008E0255">
        <w:rPr>
          <w:sz w:val="22"/>
          <w:szCs w:val="22"/>
        </w:rPr>
        <w:t>Methods that are used to prepare a seedbed can vary depending on the type of seeding equipment to be used. If a traditional native seed drill will be used, a smooth, firm seedbed is required. Soybean fields generally are sufficiently prepared for a native seed drill, but sites that were recently tilled will require additional soil treatment such as harrowing and rolling to prepare an adequate seedbed and prevent seed from being buried too deep. Broadcast seeding can be conducted on soybean or corn fields, or fields that have been disked, as long as the soil is allowed to settle before seeding. Some practitioners have found that broadcast seeding on a smooth surface (not tilled or disked) leads to the establishment of higher diversity. It is important that the soil surface is not too hard packed, so cultipacking or light harrowing of crop fields before broadcast seeding may be needed. Seed can be lost on smooth surfaces, so it is recommended to seed into temporary cover crops or to roll sites after seeding.</w:t>
      </w:r>
    </w:p>
    <w:p w:rsidRPr="008E0255" w:rsidR="008019A3" w:rsidP="008019A3" w:rsidRDefault="008019A3" w14:paraId="7FEAA901" w14:textId="77777777">
      <w:pPr>
        <w:spacing w:before="120"/>
      </w:pPr>
    </w:p>
    <w:p w:rsidRPr="008E0255" w:rsidR="008019A3" w:rsidP="008019A3" w:rsidRDefault="008019A3" w14:paraId="68628F76" w14:textId="77777777">
      <w:pPr>
        <w:rPr>
          <w:color w:val="000000"/>
        </w:rPr>
      </w:pPr>
      <w:r w:rsidRPr="008E0255">
        <w:rPr>
          <w:rFonts w:asciiTheme="minorHAnsi" w:hAnsiTheme="minorHAnsi" w:cstheme="minorHAnsi"/>
          <w:b/>
          <w:bCs/>
          <w:color w:val="000000"/>
        </w:rPr>
        <w:t>Temporary Cover Crops and Mulch:</w:t>
      </w:r>
      <w:r w:rsidRPr="008E0255">
        <w:rPr>
          <w:rFonts w:asciiTheme="minorHAnsi" w:hAnsiTheme="minorHAnsi" w:cstheme="minorHAnsi"/>
          <w:b/>
          <w:bCs/>
          <w:i/>
          <w:iCs/>
          <w:color w:val="000000"/>
        </w:rPr>
        <w:t xml:space="preserve"> </w:t>
      </w:r>
      <w:r w:rsidRPr="008E0255">
        <w:rPr>
          <w:color w:val="000000"/>
        </w:rPr>
        <w:t>The use of short-lived temporary cover crops help stabilize project sites and minimize the need for additional mulch in preparation of planting native seed mixes. They can also provide time to observe weed problems, and to allow for proper weed control before fall seeding. Temporary cover crops such as oats or winter wheat (the two species most commonly used) should be mowed to 10-12 inches before seeds mature (or harvested upon maturity) to prevent re-seeding. Other cover crops typically used in agricultural fields, such as buckwheat, pennycress, and radishes, can help stabilize soil, build soil quality, or provide weed competition as part of restoration projects. Also see NRCS Agronomy Technical Note 31. If you are seeding into a temporary cover, it is recommended to use a native grass drill to maximize seed to soil contact. When using a broadcast seeder, it is recommended to increase seeding rates to maximize the seed to soil contact.</w:t>
      </w:r>
    </w:p>
    <w:p w:rsidRPr="008E0255" w:rsidR="008019A3" w:rsidP="008019A3" w:rsidRDefault="008019A3" w14:paraId="282684B3" w14:textId="77777777">
      <w:pPr>
        <w:autoSpaceDE w:val="0"/>
        <w:autoSpaceDN w:val="0"/>
        <w:adjustRightInd w:val="0"/>
        <w:spacing w:before="120"/>
        <w:rPr>
          <w:rFonts w:asciiTheme="minorHAnsi" w:hAnsiTheme="minorHAnsi" w:cstheme="minorHAnsi"/>
          <w:color w:val="000000"/>
        </w:rPr>
      </w:pPr>
      <w:r w:rsidRPr="008E0255">
        <w:rPr>
          <w:rFonts w:asciiTheme="minorHAnsi" w:hAnsiTheme="minorHAnsi" w:cstheme="minorHAnsi"/>
          <w:b/>
          <w:bCs/>
          <w:i/>
          <w:iCs/>
          <w:color w:val="000000"/>
        </w:rPr>
        <w:t xml:space="preserve"> </w:t>
      </w:r>
    </w:p>
    <w:p w:rsidR="008019A3" w:rsidP="00692622" w:rsidRDefault="008019A3" w14:paraId="4B6CF1DE" w14:textId="39B53ED8">
      <w:r w:rsidRPr="008E0255">
        <w:rPr>
          <w:b/>
          <w:bCs/>
        </w:rPr>
        <w:lastRenderedPageBreak/>
        <w:t xml:space="preserve">Seeding Methods: </w:t>
      </w:r>
      <w:r w:rsidRPr="008E0255">
        <w:t>A variety of seeding equipment is used for upland prairie seeding including broadcast seeders, traditional native seed drills, no-till drills, Brillion seeders and Trillion seeders. Specialized native seed drills can handle a wide variety of seed (fluffy, smooth, large and small) and low seeding rates. Since no-till drilling can plant directly into a light stubble layer, this method reduces erosion on the newly seeded site. Conventional grain drills are not capable of handling diverse seed sizes and are unlikely to provide satisfactory results. While no-till native seed drills can plant through light stubble, success is still likely to be greatest when most excess residue is removed.  For broadcast seeding equipment should be used that is designed to spread mixes with different sized seeds (</w:t>
      </w:r>
      <w:r w:rsidRPr="008E0255" w:rsidR="0085372F">
        <w:t>e.g.,</w:t>
      </w:r>
      <w:r w:rsidRPr="008E0255">
        <w:t xml:space="preserve"> Vicon Seeders).</w:t>
      </w:r>
    </w:p>
    <w:p w:rsidRPr="00692622" w:rsidR="00692622" w:rsidP="00692622" w:rsidRDefault="00692622" w14:paraId="03387E85" w14:textId="77777777"/>
    <w:p w:rsidRPr="008E0255" w:rsidR="008019A3" w:rsidP="008019A3" w:rsidRDefault="008019A3" w14:paraId="2D87A678" w14:textId="77777777">
      <w:pPr>
        <w:spacing w:before="120"/>
        <w:rPr>
          <w:b/>
          <w:bCs/>
        </w:rPr>
      </w:pPr>
      <w:r w:rsidRPr="008E0255">
        <w:rPr>
          <w:b/>
          <w:bCs/>
        </w:rPr>
        <w:t xml:space="preserve">Management Methods </w:t>
      </w:r>
    </w:p>
    <w:p w:rsidRPr="008E0255" w:rsidR="008019A3" w:rsidP="008019A3" w:rsidRDefault="008019A3" w14:paraId="480A14BF" w14:textId="77777777">
      <w:pPr>
        <w:spacing w:before="120"/>
        <w:rPr>
          <w:rFonts w:asciiTheme="minorHAnsi" w:hAnsiTheme="minorHAnsi" w:cstheme="minorHAnsi"/>
          <w:i/>
          <w:iCs/>
          <w:color w:val="2F5496" w:themeColor="accent1" w:themeShade="BF"/>
        </w:rPr>
      </w:pPr>
      <w:r w:rsidRPr="008E0255">
        <w:rPr>
          <w:rFonts w:asciiTheme="minorHAnsi" w:hAnsiTheme="minorHAnsi" w:cstheme="minorHAnsi"/>
          <w:i/>
          <w:iCs/>
          <w:color w:val="2F5496" w:themeColor="accent1" w:themeShade="BF"/>
        </w:rPr>
        <w:t>Integrated Pest Management</w:t>
      </w:r>
      <w:r w:rsidRPr="008E0255">
        <w:rPr>
          <w:rFonts w:asciiTheme="minorHAnsi" w:hAnsiTheme="minorHAnsi" w:cstheme="minorHAnsi"/>
          <w:i/>
          <w:iCs/>
        </w:rPr>
        <w:t xml:space="preserve"> – </w:t>
      </w:r>
      <w:r w:rsidRPr="008E0255">
        <w:rPr>
          <w:rFonts w:cstheme="minorHAnsi"/>
          <w:color w:val="212121"/>
          <w:shd w:val="clear" w:color="auto" w:fill="FFFFFF"/>
        </w:rPr>
        <w:t xml:space="preserve">Land managers and seed mix practitioners should utilize </w:t>
      </w:r>
      <w:hyperlink w:history="1" r:id="rId11">
        <w:r w:rsidRPr="008E0255">
          <w:rPr>
            <w:rStyle w:val="Hyperlink"/>
            <w:rFonts w:cstheme="minorHAnsi"/>
            <w:color w:val="2F5496" w:themeColor="accent1" w:themeShade="BF"/>
            <w:shd w:val="clear" w:color="auto" w:fill="FFFFFF"/>
          </w:rPr>
          <w:t>Integrated Pest Management</w:t>
        </w:r>
      </w:hyperlink>
      <w:r w:rsidRPr="008E0255">
        <w:rPr>
          <w:rFonts w:cstheme="minorHAnsi"/>
          <w:color w:val="212121"/>
          <w:shd w:val="clear" w:color="auto" w:fill="FFFFFF"/>
        </w:rPr>
        <w:t xml:space="preserve"> in their efforts to establish and manage plantings.  </w:t>
      </w:r>
      <w:r w:rsidRPr="008E0255">
        <w:rPr>
          <w:rFonts w:cstheme="minorHAnsi"/>
        </w:rPr>
        <w:t>Integrated Pest Management</w:t>
      </w:r>
      <w:r w:rsidRPr="008E0255">
        <w:rPr>
          <w:rFonts w:asciiTheme="minorHAnsi" w:hAnsiTheme="minorHAnsi" w:cstheme="minorHAnsi"/>
        </w:rPr>
        <w:t xml:space="preserve">, or IPM, </w:t>
      </w:r>
      <w:r w:rsidRPr="008E0255">
        <w:rPr>
          <w:rFonts w:asciiTheme="minorHAnsi" w:hAnsiTheme="minorHAnsi" w:cstheme="minorHAnsi"/>
          <w:color w:val="212121"/>
          <w:shd w:val="clear" w:color="auto" w:fill="FFFFFF"/>
        </w:rPr>
        <w:t>is an environmentally sensitive approach to pest management that relies on the use of a combination of practices (conservation grazing, haying, prescribed burning, etc.)</w:t>
      </w:r>
      <w:r w:rsidRPr="008E0255">
        <w:rPr>
          <w:rFonts w:cstheme="minorHAnsi"/>
          <w:color w:val="212121"/>
          <w:shd w:val="clear" w:color="auto" w:fill="FFFFFF"/>
        </w:rPr>
        <w:t xml:space="preserve"> to successfully establish and manage native vegetation while minimizing the use of chemicals and accomplishing goals such as the protection and restoration of pollinators and other beneficial insects. Ultimately, using a variety of practices is the most effective, sustainable, and culturally appropriate way to achieve project goals.   </w:t>
      </w:r>
    </w:p>
    <w:p w:rsidRPr="008E0255" w:rsidR="008019A3" w:rsidP="008019A3" w:rsidRDefault="008019A3" w14:paraId="45CAC458" w14:textId="77777777">
      <w:pPr>
        <w:spacing w:before="120"/>
        <w:rPr>
          <w:rFonts w:asciiTheme="minorHAnsi" w:hAnsiTheme="minorHAnsi" w:cstheme="minorHAnsi"/>
          <w:i/>
          <w:iCs/>
          <w:color w:val="2F5496" w:themeColor="accent1" w:themeShade="BF"/>
        </w:rPr>
      </w:pPr>
      <w:r w:rsidRPr="008E0255">
        <w:rPr>
          <w:rFonts w:asciiTheme="minorHAnsi" w:hAnsiTheme="minorHAnsi" w:cstheme="minorHAnsi"/>
          <w:i/>
          <w:iCs/>
          <w:color w:val="2F5496" w:themeColor="accent1" w:themeShade="BF"/>
        </w:rPr>
        <w:t xml:space="preserve">Establishment Mowing </w:t>
      </w:r>
      <w:r w:rsidRPr="008E0255">
        <w:rPr>
          <w:rFonts w:asciiTheme="minorHAnsi" w:hAnsiTheme="minorHAnsi" w:cstheme="minorHAnsi"/>
          <w:i/>
          <w:iCs/>
        </w:rPr>
        <w:t>–</w:t>
      </w:r>
      <w:r w:rsidRPr="008E0255">
        <w:rPr>
          <w:rFonts w:asciiTheme="minorHAnsi" w:hAnsiTheme="minorHAnsi" w:cstheme="minorHAnsi"/>
          <w:i/>
          <w:iCs/>
          <w:color w:val="2F5496" w:themeColor="accent1" w:themeShade="BF"/>
        </w:rPr>
        <w:t xml:space="preserve"> </w:t>
      </w:r>
      <w:r w:rsidRPr="008E0255">
        <w:t xml:space="preserve">Mowing can be an important step in the establishment of upland prairie restoration sites that have high pressure from annual weeds. Mowing at least twice the first season and once the second season with a flail mower or stalk chopper (to prevent smothering plants) may be needed to decrease competition and to provide sufficient sunlight for seedlings. Haying is another method to remove mowed vegetation that prevents smothering of the new seeding. Mowing should be conducted before weeds mature and seed out and it is important that mowed vegetation does not smother the planting. Problematic weeds should be mowed to between five and eight inches before seed is allowed to set (usually as weeds reach 12-14 inches). Mowing height should be raised as native plants establish. Mowing too short can be detrimental to the outcomes of a successful planting. The timing and frequency of mowing should be planned to allow sufficient light to reach native plant seedlings and to prevent weed seed production. Some grassland managers see success without mowing but the need will vary depending on site conditions (such as soil productivity) and weed pressure. </w:t>
      </w:r>
    </w:p>
    <w:p w:rsidRPr="008E0255" w:rsidR="008019A3" w:rsidP="203815E4" w:rsidRDefault="008019A3" w14:paraId="0EDB3F76" w14:textId="5CF61EBF">
      <w:pPr>
        <w:pStyle w:val="Default"/>
        <w:spacing w:before="120"/>
        <w:rPr>
          <w:rFonts w:asciiTheme="minorHAnsi" w:hAnsiTheme="minorHAnsi" w:cstheme="minorBidi"/>
          <w:color w:val="0070C0"/>
          <w:sz w:val="22"/>
          <w:szCs w:val="22"/>
        </w:rPr>
      </w:pPr>
      <w:bookmarkStart w:name="_Hlk60209216" w:id="5"/>
      <w:r w:rsidRPr="203815E4">
        <w:rPr>
          <w:rFonts w:asciiTheme="minorHAnsi" w:hAnsiTheme="minorHAnsi" w:cstheme="minorBidi"/>
          <w:i/>
          <w:iCs/>
          <w:color w:val="2F5496" w:themeColor="accent1" w:themeShade="BF"/>
          <w:sz w:val="22"/>
          <w:szCs w:val="22"/>
        </w:rPr>
        <w:t>Prescribed Burning</w:t>
      </w:r>
      <w:bookmarkEnd w:id="5"/>
      <w:r w:rsidRPr="203815E4">
        <w:rPr>
          <w:rFonts w:asciiTheme="minorHAnsi" w:hAnsiTheme="minorHAnsi" w:cstheme="minorBidi"/>
          <w:i/>
          <w:iCs/>
          <w:color w:val="auto"/>
          <w:sz w:val="22"/>
          <w:szCs w:val="22"/>
        </w:rPr>
        <w:t xml:space="preserve"> </w:t>
      </w:r>
      <w:r w:rsidRPr="203815E4">
        <w:rPr>
          <w:rFonts w:asciiTheme="minorHAnsi" w:hAnsiTheme="minorHAnsi" w:cstheme="minorBidi"/>
          <w:color w:val="auto"/>
          <w:sz w:val="22"/>
          <w:szCs w:val="22"/>
        </w:rPr>
        <w:t xml:space="preserve">– </w:t>
      </w:r>
      <w:r w:rsidRPr="203815E4">
        <w:rPr>
          <w:sz w:val="22"/>
          <w:szCs w:val="22"/>
        </w:rPr>
        <w:t xml:space="preserve">Prescribed burning is beneficial to remove thatch, control invading woody and invasive plants in prairies, fertilize the soil with ashes, stimulate seed germination and new plant growth, and increase diversity in plantings. Burning is typically initiated after the third or fourth years of establishment, after native vegetation is reaching maturity. Uplands benefit from burning every three to five years. The timing of a burn </w:t>
      </w:r>
      <w:r w:rsidRPr="203815E4" w:rsidR="00D10867">
        <w:rPr>
          <w:sz w:val="22"/>
          <w:szCs w:val="22"/>
        </w:rPr>
        <w:t>helps</w:t>
      </w:r>
      <w:r w:rsidRPr="203815E4">
        <w:rPr>
          <w:sz w:val="22"/>
          <w:szCs w:val="22"/>
        </w:rPr>
        <w:t xml:space="preserve"> with management goals. Late spring burns are used to combat cool-season non-native species such as brome and reed canary grass. Burning a portion of the property each spring instead of an “all at once” burn will leave undisturbed nesting cover for ground nesting birds. Fall and spring burns should be alternated periodically to simulate natural variation. Burn plans are needed to define the details of how the burn will be conducted, who will be involved and for contingency planning. In many cases, permits are also required. It is recommended to only burn one-half or less of a project site at a time if they are large (over 50 acres), or don’t have any adjacent refuge such as other conservation lands adjacent to the site for wildlife species. Partial burns and burns that are patchy may also benefit pollinator populations if timed correctly (when pollinators are not actively foraging or pollinators have pupated and are mobile). </w:t>
      </w:r>
    </w:p>
    <w:p w:rsidRPr="008E0255" w:rsidR="008019A3" w:rsidP="008019A3" w:rsidRDefault="008019A3" w14:paraId="0C1E3D08" w14:textId="77777777">
      <w:pPr>
        <w:pStyle w:val="Default"/>
        <w:spacing w:before="120"/>
        <w:rPr>
          <w:rFonts w:asciiTheme="minorHAnsi" w:hAnsiTheme="minorHAnsi" w:cstheme="minorHAnsi"/>
          <w:color w:val="2F5496" w:themeColor="accent1" w:themeShade="BF"/>
          <w:sz w:val="22"/>
          <w:szCs w:val="22"/>
        </w:rPr>
      </w:pPr>
      <w:r w:rsidRPr="008E0255">
        <w:rPr>
          <w:rFonts w:asciiTheme="minorHAnsi" w:hAnsiTheme="minorHAnsi" w:cstheme="minorHAnsi"/>
          <w:i/>
          <w:iCs/>
          <w:color w:val="2F5496" w:themeColor="accent1" w:themeShade="BF"/>
          <w:sz w:val="22"/>
          <w:szCs w:val="22"/>
        </w:rPr>
        <w:t xml:space="preserve">Spot Mowing </w:t>
      </w:r>
      <w:r w:rsidRPr="008E0255">
        <w:rPr>
          <w:rFonts w:asciiTheme="minorHAnsi" w:hAnsiTheme="minorHAnsi" w:cstheme="minorHAnsi"/>
          <w:i/>
          <w:iCs/>
          <w:color w:val="auto"/>
          <w:sz w:val="22"/>
          <w:szCs w:val="22"/>
        </w:rPr>
        <w:t>–</w:t>
      </w:r>
      <w:r w:rsidRPr="008E0255">
        <w:rPr>
          <w:rFonts w:asciiTheme="minorHAnsi" w:hAnsiTheme="minorHAnsi" w:cstheme="minorHAnsi"/>
          <w:i/>
          <w:iCs/>
          <w:color w:val="2F5496" w:themeColor="accent1" w:themeShade="BF"/>
          <w:sz w:val="22"/>
          <w:szCs w:val="22"/>
        </w:rPr>
        <w:t xml:space="preserve"> </w:t>
      </w:r>
      <w:r w:rsidRPr="008E0255">
        <w:rPr>
          <w:sz w:val="22"/>
          <w:szCs w:val="22"/>
        </w:rPr>
        <w:t xml:space="preserve">After vegetation has established it may be beneficial to spot mow areas with invasive or noxious plants. Spot-mowing can slow some of the aggressive and fast-growing invasive plants while allowing the native species to become established. Spot-mowing should be done at a raised height between 4-6 inches in order to target the invasive plants and to not damage the native species. Spot-mowing for control of invasive or noxious </w:t>
      </w:r>
      <w:r w:rsidRPr="008E0255">
        <w:rPr>
          <w:sz w:val="22"/>
          <w:szCs w:val="22"/>
        </w:rPr>
        <w:lastRenderedPageBreak/>
        <w:t>weeds can be done every year to ensure planting health, even during 10 establishment years. Care should be taken to avoid mowing the planting too frequently or too aggressively, such as weekly or shorter than the recommended height as this can damage the native vegetation and cause the planting to fail. A list of noxious/invasive weed species that should be eradicated can be viewed at the Minnesota Department of Agriculture’s website</w:t>
      </w:r>
    </w:p>
    <w:p w:rsidRPr="008E0255" w:rsidR="008019A3" w:rsidP="008019A3" w:rsidRDefault="008019A3" w14:paraId="7F1800FE" w14:textId="77777777">
      <w:pPr>
        <w:pStyle w:val="Default"/>
        <w:spacing w:before="120"/>
        <w:rPr>
          <w:rFonts w:eastAsia="Calibri"/>
          <w:color w:val="000000" w:themeColor="text1"/>
          <w:sz w:val="22"/>
          <w:szCs w:val="22"/>
        </w:rPr>
      </w:pPr>
      <w:r w:rsidRPr="008E0255">
        <w:rPr>
          <w:rFonts w:asciiTheme="minorHAnsi" w:hAnsiTheme="minorHAnsi" w:cstheme="minorBidi"/>
          <w:i/>
          <w:iCs/>
          <w:color w:val="2F5496" w:themeColor="accent1" w:themeShade="BF"/>
          <w:sz w:val="22"/>
          <w:szCs w:val="22"/>
        </w:rPr>
        <w:t xml:space="preserve">Spot Management of Weeds </w:t>
      </w:r>
      <w:r w:rsidRPr="008E0255">
        <w:rPr>
          <w:rFonts w:asciiTheme="minorHAnsi" w:hAnsiTheme="minorHAnsi" w:cstheme="minorBidi"/>
          <w:color w:val="auto"/>
          <w:sz w:val="22"/>
          <w:szCs w:val="22"/>
        </w:rPr>
        <w:t xml:space="preserve">– </w:t>
      </w:r>
      <w:r w:rsidRPr="008E0255">
        <w:rPr>
          <w:sz w:val="22"/>
          <w:szCs w:val="22"/>
        </w:rPr>
        <w:t xml:space="preserve">Problematic perennial weeds that cannot be managed effectively with other methods may require digging, pulling, smothering or spot treatment with herbicide for sufficient control. Examples include reed canary grass, smooth brome, quack grass, purple loosestrife, Canada thistle, Kentucky bluegrass, crown vetch, and birds-foot trefoil. These methods often are not conducted during the first year of establishment due to potential impact to native plant seedlings, but it may be important to control some weeds before they have a chance to spread. If herbicides will be used it is important that </w:t>
      </w:r>
      <w:r w:rsidRPr="008E0255">
        <w:rPr>
          <w:rFonts w:cstheme="minorBidi"/>
          <w:color w:val="212121"/>
          <w:sz w:val="22"/>
          <w:szCs w:val="22"/>
          <w:shd w:val="clear" w:color="auto" w:fill="FFFFFF"/>
        </w:rPr>
        <w:t>monitoring indicates that they are needed, and treatments are made with the goal of removing only the target plant or plants.  Herbicides should be selected and applied in a manner that minimizes risks to human health, beneficial and nontarget organisms, and the environment. For example, they should only be used w</w:t>
      </w:r>
      <w:r w:rsidRPr="008E0255">
        <w:rPr>
          <w:sz w:val="22"/>
          <w:szCs w:val="22"/>
        </w:rPr>
        <w:t xml:space="preserve">hen pollinators and other insects are not active (A common approach is to mow or grazing invasive weeds in the summer followed by herbicide application in the fall). </w:t>
      </w:r>
      <w:r w:rsidRPr="008E0255">
        <w:rPr>
          <w:rFonts w:eastAsia="Calibri"/>
          <w:color w:val="000000" w:themeColor="text1"/>
          <w:sz w:val="22"/>
          <w:szCs w:val="22"/>
        </w:rPr>
        <w:t>Minimize herbicide first year/spot spray year 2. Unless significant problem weeds show up.</w:t>
      </w:r>
    </w:p>
    <w:p w:rsidRPr="008E0255" w:rsidR="008019A3" w:rsidP="008019A3" w:rsidRDefault="008019A3" w14:paraId="56EB0D1A" w14:textId="77777777">
      <w:pPr>
        <w:pStyle w:val="Default"/>
        <w:spacing w:before="120"/>
        <w:rPr>
          <w:rFonts w:eastAsia="Calibri"/>
          <w:color w:val="000000" w:themeColor="text1"/>
          <w:sz w:val="22"/>
          <w:szCs w:val="22"/>
        </w:rPr>
      </w:pPr>
    </w:p>
    <w:p w:rsidRPr="008E0255" w:rsidR="008019A3" w:rsidP="008019A3" w:rsidRDefault="008019A3" w14:paraId="12628FF7" w14:textId="77777777">
      <w:r w:rsidRPr="008E0255">
        <w:rPr>
          <w:b/>
          <w:bCs/>
        </w:rPr>
        <w:t xml:space="preserve">What to Expect in Year 1: </w:t>
      </w:r>
      <w:r w:rsidRPr="008E0255">
        <w:t xml:space="preserve">During year one of growth many native grasses and flowers will remain about one to three inches tall. The mowing will play an important role to keep weeds managed so the native plant seedlings receive sufficient water and sunlight. The planting may have a somewhat weedy appearance this first year (see establishment mowing paragraph above). </w:t>
      </w:r>
    </w:p>
    <w:p w:rsidRPr="008E0255" w:rsidR="008019A3" w:rsidP="008019A3" w:rsidRDefault="008019A3" w14:paraId="6A39B152" w14:textId="77777777">
      <w:r w:rsidRPr="008E0255">
        <w:t>(IMAGE)</w:t>
      </w:r>
    </w:p>
    <w:p w:rsidRPr="008E0255" w:rsidR="008019A3" w:rsidP="008019A3" w:rsidRDefault="008019A3" w14:paraId="425498A4" w14:textId="77777777">
      <w:pPr>
        <w:spacing w:before="120"/>
        <w:rPr>
          <w:b/>
          <w:bCs/>
        </w:rPr>
      </w:pPr>
      <w:r w:rsidRPr="008E0255">
        <w:rPr>
          <w:b/>
          <w:bCs/>
        </w:rPr>
        <w:t xml:space="preserve">What to Expect in Year 2: </w:t>
      </w:r>
      <w:r w:rsidRPr="008E0255">
        <w:t>During year two the native grasses and flowers may reach their mature height and some of them may flower. Mowing may still play a key role in managing weeds and allowing seedlings to grow.</w:t>
      </w:r>
    </w:p>
    <w:p w:rsidRPr="008E0255" w:rsidR="008019A3" w:rsidP="008019A3" w:rsidRDefault="008019A3" w14:paraId="42709D1A" w14:textId="77777777">
      <w:r w:rsidRPr="008E0255">
        <w:t>(IMAGE)</w:t>
      </w:r>
    </w:p>
    <w:p w:rsidRPr="008E0255" w:rsidR="008019A3" w:rsidP="008019A3" w:rsidRDefault="008019A3" w14:paraId="7547B9E5" w14:textId="77777777">
      <w:pPr>
        <w:spacing w:before="120"/>
      </w:pPr>
      <w:r w:rsidRPr="008E0255">
        <w:rPr>
          <w:b/>
          <w:bCs/>
        </w:rPr>
        <w:t xml:space="preserve">What to Expect in Year 3 and Beyond: </w:t>
      </w:r>
      <w:r w:rsidRPr="008E0255">
        <w:t>By the end of year three most of the native plants will be nearing maturity and should flower. There may be some species that are slow to establish and may not show up for several years.</w:t>
      </w:r>
    </w:p>
    <w:p w:rsidRPr="008E0255" w:rsidR="008019A3" w:rsidP="008019A3" w:rsidRDefault="008019A3" w14:paraId="5BB38305" w14:textId="77777777">
      <w:pPr>
        <w:spacing w:before="120"/>
      </w:pPr>
      <w:r w:rsidRPr="008E0255">
        <w:t>(IMAGE)</w:t>
      </w:r>
    </w:p>
    <w:p w:rsidRPr="008E0255" w:rsidR="008019A3" w:rsidP="008019A3" w:rsidRDefault="008019A3" w14:paraId="10B64856" w14:textId="77777777">
      <w:pPr>
        <w:spacing w:before="120"/>
        <w:rPr>
          <w:b/>
          <w:bCs/>
        </w:rPr>
      </w:pPr>
      <w:r w:rsidRPr="008E0255">
        <w:rPr>
          <w:b/>
          <w:bCs/>
        </w:rPr>
        <w:t>Problem Solving</w:t>
      </w:r>
    </w:p>
    <w:p w:rsidRPr="008E0255" w:rsidR="008019A3" w:rsidP="008019A3" w:rsidRDefault="008019A3" w14:paraId="3C01C5D6" w14:textId="77777777">
      <w:pPr>
        <w:spacing w:before="120"/>
      </w:pPr>
      <w:r w:rsidRPr="008E0255">
        <w:rPr>
          <w:rStyle w:val="IntenseEmphasis"/>
          <w:color w:val="2F5496" w:themeColor="accent1" w:themeShade="BF"/>
        </w:rPr>
        <w:t>Poor Establishment After Year 1</w:t>
      </w:r>
      <w:r w:rsidRPr="008E0255">
        <w:rPr>
          <w:color w:val="2F5496" w:themeColor="accent1" w:themeShade="BF"/>
        </w:rPr>
        <w:t xml:space="preserve"> </w:t>
      </w:r>
      <w:r w:rsidRPr="008E0255">
        <w:t>– It is often difficult to determine if a seeding is successful during the first year as establishment may vary depending on weather conditions and some species may be slow to establish. It is typically best to wait until the second year to conduct any corrective actions. Looks for species such as Black-Eyed Susan flowering in year 1 for confirmation the seeding was a success.</w:t>
      </w:r>
    </w:p>
    <w:p w:rsidRPr="008E0255" w:rsidR="008019A3" w:rsidP="008019A3" w:rsidRDefault="008019A3" w14:paraId="2B0F7E3B" w14:textId="77777777">
      <w:pPr>
        <w:spacing w:before="120"/>
      </w:pPr>
      <w:r w:rsidRPr="008E0255">
        <w:rPr>
          <w:rStyle w:val="IntenseEmphasis"/>
          <w:color w:val="2F5496" w:themeColor="accent1" w:themeShade="BF"/>
        </w:rPr>
        <w:t>Poor Establishment After Year 2</w:t>
      </w:r>
      <w:r w:rsidRPr="008E0255">
        <w:rPr>
          <w:color w:val="2F5496" w:themeColor="accent1" w:themeShade="BF"/>
        </w:rPr>
        <w:t xml:space="preserve"> </w:t>
      </w:r>
      <w:r w:rsidRPr="008E0255">
        <w:t xml:space="preserve">– If native plant seedlings are not establishing about every one to two feet it may be necessary to inter-seed some species into the planting. If this is a concern it is recommended to inspect the site during the growing season to recommend what species could be supplemented. </w:t>
      </w:r>
    </w:p>
    <w:p w:rsidRPr="008E0255" w:rsidR="008019A3" w:rsidP="008019A3" w:rsidRDefault="008019A3" w14:paraId="0C6A6EF6" w14:textId="77777777">
      <w:pPr>
        <w:spacing w:before="120"/>
      </w:pPr>
      <w:r w:rsidRPr="008E0255">
        <w:rPr>
          <w:rStyle w:val="IntenseQuoteChar"/>
          <w:color w:val="2F5496" w:themeColor="accent1" w:themeShade="BF"/>
        </w:rPr>
        <w:t>High Annual and Biennial Weed Competition</w:t>
      </w:r>
      <w:r w:rsidRPr="008E0255">
        <w:rPr>
          <w:color w:val="2F5496" w:themeColor="accent1" w:themeShade="BF"/>
        </w:rPr>
        <w:t xml:space="preserve"> </w:t>
      </w:r>
      <w:r w:rsidRPr="008E0255">
        <w:t xml:space="preserve">– Typically, annual and biennial weed competition is not a big problem in prairie plantings as they are short lived and as long as mowing is conducted before seed is set they should not add additional seed into the planting. </w:t>
      </w:r>
    </w:p>
    <w:p w:rsidRPr="008E0255" w:rsidR="008019A3" w:rsidP="008019A3" w:rsidRDefault="008019A3" w14:paraId="6A2F7874" w14:textId="77777777">
      <w:pPr>
        <w:spacing w:before="120"/>
      </w:pPr>
      <w:r w:rsidRPr="008E0255">
        <w:rPr>
          <w:rStyle w:val="IntenseEmphasis"/>
          <w:color w:val="2F5496" w:themeColor="accent1" w:themeShade="BF"/>
        </w:rPr>
        <w:lastRenderedPageBreak/>
        <w:t>High Perennial Weed Competition</w:t>
      </w:r>
      <w:r w:rsidRPr="008E0255">
        <w:rPr>
          <w:color w:val="2F5496" w:themeColor="accent1" w:themeShade="BF"/>
        </w:rPr>
        <w:t xml:space="preserve"> </w:t>
      </w:r>
      <w:r w:rsidRPr="008E0255">
        <w:t xml:space="preserve">– Dense establishment of perennial species can be a problem as it can prevent the establishment of forbs. Prescribed burning, prescribed grazing, and/or herbicide application may be needed to manage perennial weeds.  </w:t>
      </w:r>
    </w:p>
    <w:p w:rsidRPr="008E0255" w:rsidR="008019A3" w:rsidP="008019A3" w:rsidRDefault="008019A3" w14:paraId="3A2CF6F9" w14:textId="77777777">
      <w:pPr>
        <w:spacing w:before="120"/>
      </w:pPr>
      <w:r w:rsidRPr="008E0255">
        <w:rPr>
          <w:rStyle w:val="IntenseEmphasis"/>
          <w:color w:val="2F5496" w:themeColor="accent1" w:themeShade="BF"/>
        </w:rPr>
        <w:t>Low Forb Diversity After Year 3</w:t>
      </w:r>
      <w:r w:rsidRPr="008E0255">
        <w:rPr>
          <w:color w:val="2F5496" w:themeColor="accent1" w:themeShade="BF"/>
        </w:rPr>
        <w:t xml:space="preserve"> </w:t>
      </w:r>
      <w:r w:rsidRPr="008E0255">
        <w:t xml:space="preserve">– If grasses and sedges are establishing successfully but there is a lack of forbs it is recommended to conduct inter-seeding of additional forbs in late fall or after a prescribed fire in spring or fall. See the </w:t>
      </w:r>
      <w:hyperlink w:history="1" r:id="rId12">
        <w:r w:rsidRPr="008E0255">
          <w:rPr>
            <w:rStyle w:val="Hyperlink"/>
            <w:color w:val="2F5496" w:themeColor="accent1" w:themeShade="BF"/>
          </w:rPr>
          <w:t>Xerces Society guide</w:t>
        </w:r>
      </w:hyperlink>
      <w:r w:rsidRPr="008E0255">
        <w:t xml:space="preserve"> for additional information about inter-seeding wildflowers.</w:t>
      </w:r>
    </w:p>
    <w:p w:rsidRPr="008E0255" w:rsidR="008019A3" w:rsidP="008019A3" w:rsidRDefault="008019A3" w14:paraId="6A0B7975" w14:textId="77777777"/>
    <w:p w:rsidR="008019A3" w:rsidP="008019A3" w:rsidRDefault="008019A3" w14:paraId="553F76E3" w14:textId="77777777"/>
    <w:p w:rsidR="00D22D84" w:rsidP="008019A3" w:rsidRDefault="00D22D84" w14:paraId="62045344" w14:textId="77777777"/>
    <w:sectPr w:rsidR="00D22D84" w:rsidSect="00597E46">
      <w:pgSz w:w="12240" w:h="15840" w:orient="portrait"/>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5F6"/>
    <w:rsid w:val="00040CCE"/>
    <w:rsid w:val="000921AD"/>
    <w:rsid w:val="000F1EA0"/>
    <w:rsid w:val="0017475D"/>
    <w:rsid w:val="001C607D"/>
    <w:rsid w:val="002164B2"/>
    <w:rsid w:val="002B546B"/>
    <w:rsid w:val="003A6A1E"/>
    <w:rsid w:val="004D5AC0"/>
    <w:rsid w:val="00522D82"/>
    <w:rsid w:val="00597E46"/>
    <w:rsid w:val="005B2FA1"/>
    <w:rsid w:val="005B6905"/>
    <w:rsid w:val="00617D72"/>
    <w:rsid w:val="00692622"/>
    <w:rsid w:val="006C6B13"/>
    <w:rsid w:val="00727424"/>
    <w:rsid w:val="007619B2"/>
    <w:rsid w:val="007764EF"/>
    <w:rsid w:val="007C1D64"/>
    <w:rsid w:val="007F1009"/>
    <w:rsid w:val="008019A3"/>
    <w:rsid w:val="00806147"/>
    <w:rsid w:val="0085372F"/>
    <w:rsid w:val="008C12F5"/>
    <w:rsid w:val="009005F6"/>
    <w:rsid w:val="00913E37"/>
    <w:rsid w:val="00923887"/>
    <w:rsid w:val="00A20A2F"/>
    <w:rsid w:val="00A50E0B"/>
    <w:rsid w:val="00B4095A"/>
    <w:rsid w:val="00B74AA0"/>
    <w:rsid w:val="00B81358"/>
    <w:rsid w:val="00BD697E"/>
    <w:rsid w:val="00BF0719"/>
    <w:rsid w:val="00BF5DA4"/>
    <w:rsid w:val="00CA7BAE"/>
    <w:rsid w:val="00CB6BB1"/>
    <w:rsid w:val="00CC2FDA"/>
    <w:rsid w:val="00CC363B"/>
    <w:rsid w:val="00D105C4"/>
    <w:rsid w:val="00D10867"/>
    <w:rsid w:val="00D22D84"/>
    <w:rsid w:val="00D77EB6"/>
    <w:rsid w:val="00D87D20"/>
    <w:rsid w:val="00D977C2"/>
    <w:rsid w:val="00E049CA"/>
    <w:rsid w:val="00E36E83"/>
    <w:rsid w:val="00E46C5E"/>
    <w:rsid w:val="00F11105"/>
    <w:rsid w:val="00F15142"/>
    <w:rsid w:val="00F24467"/>
    <w:rsid w:val="0D740261"/>
    <w:rsid w:val="1375510E"/>
    <w:rsid w:val="1DB619A8"/>
    <w:rsid w:val="203815E4"/>
    <w:rsid w:val="2093AC3F"/>
    <w:rsid w:val="67B8B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C3517"/>
  <w15:chartTrackingRefBased/>
  <w15:docId w15:val="{B4612E8F-597E-48B1-AF53-ACC83A9D6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05F6"/>
    <w:pPr>
      <w:spacing w:after="0" w:line="240" w:lineRule="auto"/>
    </w:pPr>
    <w:rPr>
      <w:rFonts w:ascii="Calibri" w:hAnsi="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9005F6"/>
    <w:rPr>
      <w:color w:val="0563C1" w:themeColor="hyperlink"/>
      <w:u w:val="single"/>
    </w:rPr>
  </w:style>
  <w:style w:type="character" w:styleId="IntenseEmphasis">
    <w:name w:val="Intense Emphasis"/>
    <w:basedOn w:val="DefaultParagraphFont"/>
    <w:uiPriority w:val="21"/>
    <w:qFormat/>
    <w:rsid w:val="009005F6"/>
    <w:rPr>
      <w:i/>
      <w:iCs/>
      <w:color w:val="4472C4" w:themeColor="accent1"/>
    </w:rPr>
  </w:style>
  <w:style w:type="paragraph" w:styleId="IntenseQuote">
    <w:name w:val="Intense Quote"/>
    <w:basedOn w:val="Normal"/>
    <w:next w:val="Normal"/>
    <w:link w:val="IntenseQuoteChar"/>
    <w:uiPriority w:val="30"/>
    <w:qFormat/>
    <w:rsid w:val="009005F6"/>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IntenseQuoteChar" w:customStyle="1">
    <w:name w:val="Intense Quote Char"/>
    <w:basedOn w:val="DefaultParagraphFont"/>
    <w:link w:val="IntenseQuote"/>
    <w:uiPriority w:val="30"/>
    <w:rsid w:val="009005F6"/>
    <w:rPr>
      <w:rFonts w:ascii="Calibri" w:hAnsi="Calibri" w:cs="Calibri"/>
      <w:i/>
      <w:iCs/>
      <w:color w:val="4472C4" w:themeColor="accent1"/>
    </w:rPr>
  </w:style>
  <w:style w:type="paragraph" w:styleId="Default" w:customStyle="1">
    <w:name w:val="Default"/>
    <w:rsid w:val="009005F6"/>
    <w:pPr>
      <w:autoSpaceDE w:val="0"/>
      <w:autoSpaceDN w:val="0"/>
      <w:adjustRightInd w:val="0"/>
      <w:spacing w:after="0" w:line="240" w:lineRule="auto"/>
    </w:pPr>
    <w:rPr>
      <w:rFonts w:ascii="Calibri" w:hAnsi="Calibri" w:cs="Calibri"/>
      <w:color w:val="000000"/>
      <w:sz w:val="24"/>
      <w:szCs w:val="24"/>
    </w:rPr>
  </w:style>
  <w:style w:type="paragraph" w:styleId="paragraph" w:customStyle="1">
    <w:name w:val="paragraph"/>
    <w:basedOn w:val="Normal"/>
    <w:rsid w:val="00923887"/>
    <w:pPr>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923887"/>
  </w:style>
  <w:style w:type="table" w:styleId="GridTable6Colorful">
    <w:name w:val="Grid Table 6 Colorful"/>
    <w:basedOn w:val="TableNormal"/>
    <w:uiPriority w:val="51"/>
    <w:rsid w:val="00913E37"/>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880259">
      <w:bodyDiv w:val="1"/>
      <w:marLeft w:val="0"/>
      <w:marRight w:val="0"/>
      <w:marTop w:val="0"/>
      <w:marBottom w:val="0"/>
      <w:divBdr>
        <w:top w:val="none" w:sz="0" w:space="0" w:color="auto"/>
        <w:left w:val="none" w:sz="0" w:space="0" w:color="auto"/>
        <w:bottom w:val="none" w:sz="0" w:space="0" w:color="auto"/>
        <w:right w:val="none" w:sz="0" w:space="0" w:color="auto"/>
      </w:divBdr>
      <w:divsChild>
        <w:div w:id="2008316054">
          <w:marLeft w:val="0"/>
          <w:marRight w:val="0"/>
          <w:marTop w:val="0"/>
          <w:marBottom w:val="0"/>
          <w:divBdr>
            <w:top w:val="none" w:sz="0" w:space="0" w:color="auto"/>
            <w:left w:val="none" w:sz="0" w:space="0" w:color="auto"/>
            <w:bottom w:val="none" w:sz="0" w:space="0" w:color="auto"/>
            <w:right w:val="none" w:sz="0" w:space="0" w:color="auto"/>
          </w:divBdr>
        </w:div>
      </w:divsChild>
    </w:div>
    <w:div w:id="894124410">
      <w:bodyDiv w:val="1"/>
      <w:marLeft w:val="0"/>
      <w:marRight w:val="0"/>
      <w:marTop w:val="0"/>
      <w:marBottom w:val="0"/>
      <w:divBdr>
        <w:top w:val="none" w:sz="0" w:space="0" w:color="auto"/>
        <w:left w:val="none" w:sz="0" w:space="0" w:color="auto"/>
        <w:bottom w:val="none" w:sz="0" w:space="0" w:color="auto"/>
        <w:right w:val="none" w:sz="0" w:space="0" w:color="auto"/>
      </w:divBdr>
    </w:div>
    <w:div w:id="134316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hyperlink" Target="https://xerces.org/publications/guidelines/interseeding-wildflowers-to-diversify-grasslands-for-pollinator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mda.state.mn.us/pesticide-fertilizer/integrated-pest-management" TargetMode="External" Id="rId11"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image" Target="media/image3.png" Id="rId9" /><Relationship Type="http://schemas.openxmlformats.org/officeDocument/2006/relationships/theme" Target="theme/theme1.xml" Id="rId14" /><Relationship Type="http://schemas.openxmlformats.org/officeDocument/2006/relationships/hyperlink" Target="https://bwsr.state.mn.us/seed-mixes" TargetMode="External" Id="Ra31b82c2e68544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2E6F4475B4364FB2DF0900946C4B0D" ma:contentTypeVersion="6" ma:contentTypeDescription="Create a new document." ma:contentTypeScope="" ma:versionID="c795dab67ea53f38c9cf145d788fef53">
  <xsd:schema xmlns:xsd="http://www.w3.org/2001/XMLSchema" xmlns:xs="http://www.w3.org/2001/XMLSchema" xmlns:p="http://schemas.microsoft.com/office/2006/metadata/properties" xmlns:ns2="ed37426c-40bd-4a45-9ec1-df064aaa9130" xmlns:ns3="5e5027df-e74e-4ce0-b9c9-d835891705a8" targetNamespace="http://schemas.microsoft.com/office/2006/metadata/properties" ma:root="true" ma:fieldsID="dd92267601e163b49a5ea87bb45ff76f" ns2:_="" ns3:_="">
    <xsd:import namespace="ed37426c-40bd-4a45-9ec1-df064aaa9130"/>
    <xsd:import namespace="5e5027df-e74e-4ce0-b9c9-d83589170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426c-40bd-4a45-9ec1-df064aaa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027df-e74e-4ce0-b9c9-d835891705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BBDA3C-D94A-42F0-8BA7-9DC93E2CF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426c-40bd-4a45-9ec1-df064aaa9130"/>
    <ds:schemaRef ds:uri="5e5027df-e74e-4ce0-b9c9-d83589170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65783-B2FF-42A6-86FE-043CD064A5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83933C-43B8-46AC-B6C4-BF90A1FB48B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Perriello, Tara L (BWSR)</dc:creator>
  <keywords/>
  <dc:description/>
  <lastModifiedBy>Rost, Cecelia (She/Her/Hers) (BWSR)</lastModifiedBy>
  <revision>39</revision>
  <dcterms:created xsi:type="dcterms:W3CDTF">2021-03-25T21:09:00.0000000Z</dcterms:created>
  <dcterms:modified xsi:type="dcterms:W3CDTF">2024-04-09T14:52:19.6082555Z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0x010100AA2E6F4475B4364FB2DF0900946C4B0D</vt:lpwstr>
  </property>
</Properties>
</file>